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504"/>
        <w:gridCol w:w="850"/>
        <w:gridCol w:w="4501"/>
      </w:tblGrid>
      <w:tr w:rsidR="00000DA3" w:rsidTr="00000DA3">
        <w:tc>
          <w:tcPr>
            <w:tcW w:w="4503" w:type="dxa"/>
          </w:tcPr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58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поссовет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24 августа 2018г. №94-п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Красный Коммунар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1" w:type="dxa"/>
            <w:gridSpan w:val="2"/>
          </w:tcPr>
          <w:p w:rsidR="00000DA3" w:rsidRDefault="00000DA3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DA3" w:rsidTr="00000DA3">
        <w:trPr>
          <w:trHeight w:val="1024"/>
        </w:trPr>
        <w:tc>
          <w:tcPr>
            <w:tcW w:w="5353" w:type="dxa"/>
            <w:gridSpan w:val="2"/>
          </w:tcPr>
          <w:p w:rsidR="00000DA3" w:rsidRDefault="00000DA3">
            <w:pPr>
              <w:pStyle w:val="af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 «Выдача  разрешения на условно разрешенный вид использования земельного участка или объекта капитального строительства»</w:t>
            </w:r>
          </w:p>
          <w:p w:rsidR="00000DA3" w:rsidRDefault="00000DA3">
            <w:pPr>
              <w:pStyle w:val="af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</w:tcPr>
          <w:p w:rsidR="00000DA3" w:rsidRDefault="00000DA3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0DA3" w:rsidRDefault="00000DA3" w:rsidP="00000DA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00DA3" w:rsidRDefault="00000DA3" w:rsidP="00000DA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000DA3" w:rsidRDefault="00000DA3" w:rsidP="00000DA3">
      <w:pPr>
        <w:pStyle w:val="af1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000DA3" w:rsidRDefault="00000DA3" w:rsidP="00000DA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</w:t>
      </w:r>
    </w:p>
    <w:p w:rsidR="00000DA3" w:rsidRDefault="00000DA3" w:rsidP="00000DA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000DA3" w:rsidRDefault="00000DA3" w:rsidP="00000DA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00DA3" w:rsidRDefault="00000DA3" w:rsidP="00000DA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000DA3" w:rsidRDefault="00000DA3" w:rsidP="00000DA3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00DA3" w:rsidRDefault="00000DA3" w:rsidP="00000DA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8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kommunar</w:t>
        </w:r>
        <w:proofErr w:type="spellEnd"/>
        <w:r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2012.</w:t>
        </w:r>
        <w:proofErr w:type="spellStart"/>
        <w:r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00DA3" w:rsidRDefault="00000DA3" w:rsidP="00000DA3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DA3" w:rsidRDefault="00000DA3" w:rsidP="00000DA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00DA3" w:rsidRDefault="00000DA3" w:rsidP="00000DA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000DA3" w:rsidRDefault="00000DA3" w:rsidP="00000DA3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00DA3" w:rsidRDefault="00000DA3" w:rsidP="00000DA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000DA3" w:rsidRDefault="00000DA3" w:rsidP="00000DA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000DA3" w:rsidRDefault="00000DA3" w:rsidP="00000DA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000DA3" w:rsidRDefault="00000DA3" w:rsidP="00000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00DA3" w:rsidRDefault="00000DA3" w:rsidP="00000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000DA3" w:rsidRDefault="00000DA3" w:rsidP="00000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«Выдача разрешения на условно разрешенный вид использования </w:t>
      </w:r>
    </w:p>
    <w:p w:rsidR="00000DA3" w:rsidRDefault="00000DA3" w:rsidP="00000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 или объекта капитального строительства»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Заявители на получение муниципальной услуги: физическое или юридическое лицо, заинтересованное в выдаче разрешения на условно разрешенный вид использования земельного участка или объекта капитального строительства.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000DA3" w:rsidRDefault="00000DA3" w:rsidP="00000D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Наименование органа местного самоуправления: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461430 Оренбургская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Коммунар, улица Луначарского, дом 55.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kk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официального сайта органа местного самоуправления: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пятница:  с 08-30  до 17-00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обеденный перерыв: с 12-30 до 14-00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______________________ (далее – официальный сайт), на информационных стендах в залах приёма заявителей в органе местного самоуправления.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заключённых между многофункциональными центрами и органом местного самоуправления) (далее – Соглашение о взаимодействии) указывается на официальном сайте органа местного самоуправления, информационных стендах органа местного самоуправления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Информация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органа местного самоуправления </w:t>
      </w:r>
      <w:hyperlink r:id="rId9" w:history="1">
        <w:r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kommunar</w:t>
        </w:r>
        <w:proofErr w:type="spellEnd"/>
        <w:r>
          <w:rPr>
            <w:rStyle w:val="aa"/>
            <w:rFonts w:ascii="Times New Roman" w:hAnsi="Times New Roman" w:cs="Times New Roman"/>
            <w:sz w:val="24"/>
            <w:szCs w:val="24"/>
          </w:rPr>
          <w:t>2012.</w:t>
        </w:r>
        <w:proofErr w:type="spellStart"/>
        <w:r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основания для отказа в приёме документов для предоставления муниципальной услуги;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000DA3" w:rsidRDefault="00000DA3" w:rsidP="00000D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10. Информация о муниципальной услуге, в том числе о ходе ее предоставления, может быть получена по телефону, а также</w:t>
      </w:r>
      <w:r>
        <w:rPr>
          <w:rFonts w:eastAsiaTheme="minorHAnsi"/>
          <w:lang w:eastAsia="en-US"/>
        </w:rPr>
        <w:t xml:space="preserve"> в электронной форме</w:t>
      </w:r>
      <w:r>
        <w:t xml:space="preserve"> </w:t>
      </w:r>
      <w:r>
        <w:rPr>
          <w:lang w:eastAsia="en-US"/>
        </w:rPr>
        <w:t xml:space="preserve">через «Единый интернет-портал государственных и муниципальных услуг» </w:t>
      </w:r>
      <w:proofErr w:type="spellStart"/>
      <w:r>
        <w:rPr>
          <w:lang w:eastAsia="en-US"/>
        </w:rPr>
        <w:t>www.gosuslugi.ru</w:t>
      </w:r>
      <w:proofErr w:type="spellEnd"/>
      <w:r>
        <w:rPr>
          <w:lang w:eastAsia="en-US"/>
        </w:rPr>
        <w:t xml:space="preserve"> (далее </w:t>
      </w:r>
      <w:r>
        <w:t xml:space="preserve">– </w:t>
      </w:r>
      <w:r>
        <w:rPr>
          <w:lang w:eastAsia="en-US"/>
        </w:rPr>
        <w:t>Портал).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</w:pPr>
      <w: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000DA3" w:rsidRDefault="00000DA3" w:rsidP="00000D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</w:pPr>
      <w:r>
        <w:t xml:space="preserve">11. Наименование муниципальной услуги: «Выдача разрешения на условно разрешенный вид использования земельного участка или объекта капитального строительства».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Муниципальная услуга носит заявительный порядок обращения.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ind w:firstLine="567"/>
        <w:jc w:val="both"/>
      </w:pPr>
      <w:r>
        <w:t xml:space="preserve">13. Муниципальная услуга «Выдача разрешения на условно разрешенный вид использования земельного участка или объекта капитального строительства» предоставляется органом местного самоуправления - Администрацией муниципального образования </w:t>
      </w:r>
      <w:proofErr w:type="spellStart"/>
      <w:r>
        <w:lastRenderedPageBreak/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 (далее – орган местного самоуправления).</w:t>
      </w:r>
    </w:p>
    <w:p w:rsidR="00000DA3" w:rsidRDefault="00000DA3" w:rsidP="00000DA3">
      <w:pPr>
        <w:ind w:firstLine="567"/>
        <w:jc w:val="both"/>
      </w:pPr>
      <w:r>
        <w:t>14. Органы государственной власти, местного самоуправления, организации, участвующие в предоставлении муниципальной услуги:</w:t>
      </w:r>
    </w:p>
    <w:p w:rsidR="00000DA3" w:rsidRDefault="00000DA3" w:rsidP="00000DA3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>
        <w:rPr>
          <w:rFonts w:eastAsiaTheme="minorHAnsi"/>
          <w:lang w:eastAsia="en-US"/>
        </w:rPr>
        <w:t>Росреестра</w:t>
      </w:r>
      <w:proofErr w:type="spellEnd"/>
      <w:r>
        <w:rPr>
          <w:rFonts w:eastAsiaTheme="minorHAnsi"/>
          <w:lang w:eastAsia="en-US"/>
        </w:rPr>
        <w:t xml:space="preserve"> по Оренбургской области);</w:t>
      </w:r>
    </w:p>
    <w:p w:rsidR="00000DA3" w:rsidRDefault="00000DA3" w:rsidP="00000DA3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000DA3" w:rsidRDefault="00000DA3" w:rsidP="00000DA3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Межрайонная инспекция федеральной налоговой службы России № 10 по Оренбургской области;</w:t>
      </w:r>
    </w:p>
    <w:p w:rsidR="00000DA3" w:rsidRDefault="00000DA3" w:rsidP="00000DA3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МФЦ (при наличии Соглашения </w:t>
      </w:r>
      <w:r>
        <w:t>о взаимодействии</w:t>
      </w:r>
      <w:r>
        <w:rPr>
          <w:rFonts w:eastAsiaTheme="minorHAnsi"/>
          <w:lang w:eastAsia="en-US"/>
        </w:rPr>
        <w:t>).</w:t>
      </w:r>
    </w:p>
    <w:p w:rsidR="00000DA3" w:rsidRDefault="00000DA3" w:rsidP="00000DA3">
      <w:pPr>
        <w:ind w:firstLine="567"/>
        <w:jc w:val="both"/>
        <w:rPr>
          <w:sz w:val="20"/>
          <w:szCs w:val="20"/>
        </w:rPr>
      </w:pPr>
      <w:r>
        <w:t xml:space="preserve">15.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Администрацией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</w:pPr>
      <w:r>
        <w:t>17. Результатом предоставления муниципальной услуги является:</w:t>
      </w:r>
    </w:p>
    <w:p w:rsidR="00000DA3" w:rsidRDefault="00000DA3" w:rsidP="00000DA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разрешения на условно разрешенный вид использования земельного участка или объекта капитального строительства;</w:t>
      </w:r>
    </w:p>
    <w:p w:rsidR="00000DA3" w:rsidRDefault="00000DA3" w:rsidP="00000DA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Заявителю в качестве результата предоставления услуги обеспечивается по его выбору возможность получения:</w:t>
      </w:r>
    </w:p>
    <w:p w:rsidR="00000DA3" w:rsidRDefault="00000DA3" w:rsidP="00000DA3">
      <w:pPr>
        <w:pStyle w:val="af0"/>
        <w:widowControl w:val="0"/>
        <w:autoSpaceDE w:val="0"/>
        <w:autoSpaceDN w:val="0"/>
        <w:ind w:left="0" w:firstLine="709"/>
        <w:jc w:val="both"/>
      </w:pPr>
      <w:r>
        <w:t>1) В случае подачи заявления в электронной форме через Портал: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000DA3" w:rsidRDefault="00000DA3" w:rsidP="00000DA3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left="0" w:firstLine="709"/>
        <w:jc w:val="both"/>
      </w:pPr>
      <w:r>
        <w:t>В случае подачи заявления через МФЦ (при наличии Соглашения):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3) В случае подачи заявления лично в орган (организацию):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000DA3" w:rsidRDefault="00000DA3" w:rsidP="00000DA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b/>
        </w:rPr>
      </w:pPr>
      <w: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00DA3" w:rsidRDefault="00000DA3" w:rsidP="00000DA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18. Прохождение всех административных процедур, необходимых для получения результата муниципальной услуги,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 не более 70 дней со дня получения заявления о предоставлении муниципальной услуги.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Предоставление муниципальной услуги регулируется следующими нормативными правовыми актами:</w:t>
      </w:r>
    </w:p>
    <w:p w:rsidR="00000DA3" w:rsidRDefault="00000DA3" w:rsidP="00000DA3">
      <w:pPr>
        <w:ind w:firstLine="567"/>
        <w:jc w:val="both"/>
      </w:pPr>
      <w:r>
        <w:t>1) Конституцией Российской Федерации («Российская газета», 25.12.1993, № 237);</w:t>
      </w:r>
    </w:p>
    <w:p w:rsidR="00000DA3" w:rsidRDefault="00000DA3" w:rsidP="00000DA3">
      <w:pPr>
        <w:ind w:firstLine="567"/>
        <w:jc w:val="both"/>
      </w:pPr>
      <w:r>
        <w:t>2) Градостроительным кодексом Российской Федерации от 29.12.2004 № 190-ФЗ («Российская газета», 30.12.2004, № 290);</w:t>
      </w:r>
    </w:p>
    <w:p w:rsidR="00000DA3" w:rsidRDefault="00000DA3" w:rsidP="00000DA3">
      <w:pPr>
        <w:ind w:firstLine="567"/>
        <w:jc w:val="both"/>
      </w:pPr>
      <w: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000DA3" w:rsidRDefault="00000DA3" w:rsidP="00000DA3">
      <w:pPr>
        <w:ind w:firstLine="567"/>
        <w:jc w:val="both"/>
      </w:pPr>
      <w:r>
        <w:t xml:space="preserve">4) </w:t>
      </w:r>
      <w:r>
        <w:rPr>
          <w:bCs/>
        </w:rPr>
        <w:t xml:space="preserve">Земельным </w:t>
      </w:r>
      <w:hyperlink r:id="rId10" w:history="1">
        <w:r>
          <w:rPr>
            <w:rStyle w:val="aa"/>
            <w:bCs/>
            <w:color w:val="0000FF"/>
          </w:rPr>
          <w:t>кодексом</w:t>
        </w:r>
      </w:hyperlink>
      <w:r>
        <w:rPr>
          <w:bCs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000DA3" w:rsidRDefault="00000DA3" w:rsidP="00000DA3">
      <w:pPr>
        <w:ind w:firstLine="567"/>
        <w:jc w:val="both"/>
      </w:pPr>
      <w: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000DA3" w:rsidRDefault="00000DA3" w:rsidP="00000DA3">
      <w:pPr>
        <w:ind w:firstLine="567"/>
        <w:jc w:val="both"/>
      </w:pPr>
      <w: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000DA3" w:rsidRDefault="00000DA3" w:rsidP="00000DA3">
      <w:pPr>
        <w:ind w:firstLine="567"/>
        <w:jc w:val="both"/>
      </w:pPr>
      <w:r>
        <w:t>7) Федеральным законом от 27.07.2006 № 152-ФЗ «О персональных данных» («Российская газета», 29.07.2006, № 165);</w:t>
      </w:r>
    </w:p>
    <w:p w:rsidR="00000DA3" w:rsidRDefault="00000DA3" w:rsidP="00000DA3">
      <w:pPr>
        <w:ind w:firstLine="567"/>
        <w:jc w:val="both"/>
      </w:pPr>
      <w:r>
        <w:t xml:space="preserve">8) Федеральным </w:t>
      </w:r>
      <w:hyperlink r:id="rId11" w:history="1">
        <w:r>
          <w:rPr>
            <w:rStyle w:val="aa"/>
            <w:color w:val="0000FF"/>
          </w:rPr>
          <w:t>законом</w:t>
        </w:r>
      </w:hyperlink>
      <w: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000DA3" w:rsidRDefault="00000DA3" w:rsidP="00000DA3">
      <w:pPr>
        <w:ind w:firstLine="567"/>
        <w:jc w:val="both"/>
      </w:pPr>
      <w:r>
        <w:t>9) Законом Оренбургской области от 16.03.2007 № 1037/233-</w:t>
      </w:r>
      <w:r>
        <w:rPr>
          <w:lang w:val="en-US"/>
        </w:rPr>
        <w:t>IV</w:t>
      </w:r>
      <w:r>
        <w:t>-ОЗ «О градостроительной деятельности на территории Оренбургской области» (</w:t>
      </w:r>
      <w:r>
        <w:rPr>
          <w:rFonts w:eastAsia="Calibri"/>
          <w:lang w:eastAsia="en-US"/>
        </w:rPr>
        <w:t>«Южный Урал», № 60, (</w:t>
      </w:r>
      <w:proofErr w:type="spellStart"/>
      <w:r>
        <w:rPr>
          <w:rFonts w:eastAsia="Calibri"/>
          <w:lang w:eastAsia="en-US"/>
        </w:rPr>
        <w:t>спецвыпуск</w:t>
      </w:r>
      <w:proofErr w:type="spellEnd"/>
      <w:r>
        <w:rPr>
          <w:rFonts w:eastAsia="Calibri"/>
          <w:lang w:eastAsia="en-US"/>
        </w:rPr>
        <w:t xml:space="preserve"> № 35) 24.03.2007)</w:t>
      </w:r>
      <w:r>
        <w:t>;</w:t>
      </w:r>
    </w:p>
    <w:p w:rsidR="00000DA3" w:rsidRDefault="00000DA3" w:rsidP="00000DA3">
      <w:pPr>
        <w:ind w:firstLine="720"/>
        <w:jc w:val="both"/>
        <w:rPr>
          <w:rFonts w:eastAsia="Calibri"/>
          <w:lang w:eastAsia="en-US"/>
        </w:rPr>
      </w:pPr>
      <w:r>
        <w:t xml:space="preserve">10) Постановлением Правительства Оренбургской области </w:t>
      </w:r>
      <w:r>
        <w:rPr>
          <w:rFonts w:eastAsia="Calibri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000DA3" w:rsidRDefault="00000DA3" w:rsidP="00000DA3">
      <w:pPr>
        <w:ind w:firstLine="720"/>
        <w:jc w:val="both"/>
      </w:pPr>
      <w: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>
        <w:t>»(</w:t>
      </w:r>
      <w:proofErr w:type="gramEnd"/>
      <w:r>
        <w:t xml:space="preserve">Официальный интернет-портал правовой информации </w:t>
      </w:r>
      <w:hyperlink r:id="rId12" w:history="1">
        <w:r>
          <w:rPr>
            <w:rStyle w:val="aa"/>
            <w:lang w:val="en-US"/>
          </w:rPr>
          <w:t>http</w:t>
        </w:r>
        <w:r>
          <w:rPr>
            <w:rStyle w:val="aa"/>
          </w:rPr>
          <w:t>://</w:t>
        </w:r>
        <w:r>
          <w:rPr>
            <w:rStyle w:val="aa"/>
            <w:lang w:val="en-US"/>
          </w:rPr>
          <w:t>www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pravo</w:t>
        </w:r>
        <w:proofErr w:type="spellEnd"/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gov</w:t>
        </w:r>
        <w:proofErr w:type="spellEnd"/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  <w:r>
        <w:t>, 29.01.2016);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13) </w:t>
      </w:r>
      <w: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000DA3" w:rsidRDefault="00000DA3" w:rsidP="00000DA3">
      <w:pPr>
        <w:autoSpaceDE w:val="0"/>
        <w:autoSpaceDN w:val="0"/>
        <w:adjustRightInd w:val="0"/>
        <w:ind w:firstLine="567"/>
      </w:pPr>
      <w:r>
        <w:t>14) Уставом муниципального образования;</w:t>
      </w:r>
    </w:p>
    <w:p w:rsidR="00000DA3" w:rsidRDefault="00000DA3" w:rsidP="00000DA3">
      <w:pPr>
        <w:tabs>
          <w:tab w:val="left" w:pos="709"/>
        </w:tabs>
        <w:ind w:firstLine="567"/>
        <w:jc w:val="both"/>
      </w:pPr>
      <w:r>
        <w:lastRenderedPageBreak/>
        <w:t>15) настоящим Административным регламентом;</w:t>
      </w:r>
    </w:p>
    <w:p w:rsidR="00000DA3" w:rsidRDefault="00000DA3" w:rsidP="00000DA3">
      <w:pPr>
        <w:tabs>
          <w:tab w:val="left" w:pos="709"/>
        </w:tabs>
        <w:ind w:firstLine="567"/>
        <w:jc w:val="both"/>
      </w:pPr>
      <w:r>
        <w:t>16) иными нормативными правовыми актами.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заявитель должен предоставить самостоятельно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Для получения муниципальной услуги заявитель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ыписка из ЕГРЮЛ или ЕГРИП на лицо, являющееся заявителем;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правоустанавливающие документы на земельный участок, если право на земельный участок зарегистрировано в ЕГРН;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правоустанавливающие документы на объект капитального строительства или на помещение, являющееся частью объекта капитального строительства, если право на здание, сооружение зарегистрировано в ЕГРН (при наличии на земельном участке объекта капитального строительства);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кадастровый паспорт земельного участка, если в отношении участка осуществлен кадастровый учет;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сооружения осуществлен кадастровый учет.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указанных в подпунктах 1-5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предоставлением муниципальной услуги.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целью получения муниципальной услуги</w:t>
      </w: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Заявитель вправе представить документы следующими способами:</w:t>
      </w:r>
    </w:p>
    <w:p w:rsidR="00000DA3" w:rsidRDefault="00000DA3" w:rsidP="00000DA3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000DA3" w:rsidRDefault="00000DA3" w:rsidP="00000DA3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000DA3" w:rsidRDefault="00000DA3" w:rsidP="00000DA3">
      <w:pPr>
        <w:pStyle w:val="ConsPlusNormal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000DA3" w:rsidRDefault="00000DA3" w:rsidP="00000DA3">
      <w:pPr>
        <w:pStyle w:val="ConsPlusNormal"/>
        <w:ind w:left="567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через МФЦ (при наличии Соглашения о взаимодействии).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заверении копии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.» допускается заверять отметкой «Верно» каждый лист многостраничной копии документа.</w:t>
      </w:r>
    </w:p>
    <w:p w:rsidR="00000DA3" w:rsidRDefault="00000DA3" w:rsidP="00000D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Предоставление муниципальной услуги может быть осуществлено через Портал.</w:t>
      </w:r>
    </w:p>
    <w:p w:rsidR="00000DA3" w:rsidRDefault="00000DA3" w:rsidP="00000D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000DA3" w:rsidRDefault="00000DA3" w:rsidP="00000DA3">
      <w:pPr>
        <w:ind w:firstLine="709"/>
        <w:jc w:val="both"/>
      </w:pPr>
      <w: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  <w:rPr>
          <w:i/>
        </w:rPr>
      </w:pPr>
      <w:proofErr w:type="gramStart"/>
      <w: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>Требования к электронным документам, предоставляемым заявителем для получения услуги.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 xml:space="preserve">1) Прилагаемые к заявлению электронные документы представляются в одном из следующих форматов: </w:t>
      </w:r>
    </w:p>
    <w:p w:rsidR="00000DA3" w:rsidRDefault="00000DA3" w:rsidP="00000DA3">
      <w:pPr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709"/>
        <w:jc w:val="both"/>
      </w:pPr>
      <w:r>
        <w:rPr>
          <w:lang w:val="en-US"/>
        </w:rPr>
        <w:t>doc</w:t>
      </w:r>
      <w:r>
        <w:t xml:space="preserve">, </w:t>
      </w:r>
      <w:proofErr w:type="spellStart"/>
      <w:r>
        <w:rPr>
          <w:lang w:val="en-US"/>
        </w:rPr>
        <w:t>docx</w:t>
      </w:r>
      <w:proofErr w:type="spellEnd"/>
      <w:r>
        <w:t xml:space="preserve">, </w:t>
      </w:r>
      <w:r>
        <w:rPr>
          <w:lang w:val="en-US"/>
        </w:rPr>
        <w:t>rtf</w:t>
      </w:r>
      <w:r>
        <w:t xml:space="preserve">, </w:t>
      </w:r>
      <w:proofErr w:type="spellStart"/>
      <w:r>
        <w:rPr>
          <w:lang w:val="en-US"/>
        </w:rPr>
        <w:t>pdf</w:t>
      </w:r>
      <w:proofErr w:type="spellEnd"/>
      <w:r>
        <w:t xml:space="preserve">, </w:t>
      </w:r>
      <w:proofErr w:type="spellStart"/>
      <w:r>
        <w:rPr>
          <w:lang w:val="en-US"/>
        </w:rPr>
        <w:t>odt</w:t>
      </w:r>
      <w:proofErr w:type="spellEnd"/>
      <w:r>
        <w:t xml:space="preserve">, </w:t>
      </w:r>
      <w:r>
        <w:rPr>
          <w:lang w:val="en-US"/>
        </w:rPr>
        <w:t>jpg</w:t>
      </w:r>
      <w:r>
        <w:t xml:space="preserve">, </w:t>
      </w:r>
      <w:proofErr w:type="spellStart"/>
      <w:r>
        <w:rPr>
          <w:lang w:val="en-US"/>
        </w:rPr>
        <w:t>png</w:t>
      </w:r>
      <w:proofErr w:type="spellEnd"/>
      <w:r>
        <w:t>;</w:t>
      </w:r>
    </w:p>
    <w:p w:rsidR="00000DA3" w:rsidRDefault="00000DA3" w:rsidP="00000DA3">
      <w:pPr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</w:pPr>
      <w:r>
        <w:lastRenderedPageBreak/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>
        <w:rPr>
          <w:lang w:val="en-US"/>
        </w:rPr>
        <w:t>zip</w:t>
      </w:r>
      <w:r>
        <w:t>.</w:t>
      </w:r>
    </w:p>
    <w:p w:rsidR="00000DA3" w:rsidRDefault="00000DA3" w:rsidP="00000DA3">
      <w:pPr>
        <w:widowControl w:val="0"/>
        <w:autoSpaceDE w:val="0"/>
        <w:autoSpaceDN w:val="0"/>
        <w:ind w:firstLine="709"/>
      </w:pPr>
      <w:r>
        <w:t>2) В целях представления электронных документов сканирование документов на бумажном носителе осуществляется: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>
        <w:t>dpi</w:t>
      </w:r>
      <w:proofErr w:type="spellEnd"/>
      <w:r>
        <w:t>;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>б) в черно-белом режиме при отсутствии в документе графических изображений;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>в) в режиме полной цветопередачи при наличии в документе цветных графических изображений либо цветного текста;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>г) в режиме "оттенки серого" при наличии в документе изображений, отличных от цветного изображения.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 xml:space="preserve">3) Документы в электронном виде подписываются </w:t>
      </w:r>
      <w:proofErr w:type="gramStart"/>
      <w:r>
        <w:t>квалифицированной</w:t>
      </w:r>
      <w:proofErr w:type="gramEnd"/>
      <w:r>
        <w:t xml:space="preserve"> ЭП.</w:t>
      </w:r>
    </w:p>
    <w:p w:rsidR="00000DA3" w:rsidRDefault="00000DA3" w:rsidP="00000DA3">
      <w:pPr>
        <w:widowControl w:val="0"/>
        <w:autoSpaceDE w:val="0"/>
        <w:autoSpaceDN w:val="0"/>
        <w:ind w:firstLine="709"/>
        <w:jc w:val="both"/>
      </w:pPr>
      <w:r>
        <w:t>4) Наименования электронных документов должны соответствовать наименованиям документов на бумажном носителе.</w:t>
      </w:r>
    </w:p>
    <w:p w:rsidR="00000DA3" w:rsidRDefault="00000DA3" w:rsidP="00000D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приёме документов,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Основаниями для отказа в приёме документов, необходимых для предоставления муниципальной услуги, являются: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представленный заявителем пакет документов не соответствует требованиям, установленным пунктами 20, 24 – 26 настоящего Административного  регламента;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предоставление документов, текст которых не поддаётся прочтению.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Основания для приостановления предоставления муниципальной услуги отсутствуют.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являются: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образования, проекту планировки, Правилам землепользования и застройки муниципального образования;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правообладателей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земельных участок, имеющие общие границы с земельным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участком, применительно к которому запрашивается разрешение, иных физических и юридических лиц в результате применения указанного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вида разрешенного использования земельного участка или объекта капитального строительства;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судебных актов, препятствующих предоставлению муниципальной услуги.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000DA3" w:rsidRDefault="00000DA3" w:rsidP="00000D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000DA3" w:rsidRDefault="00000DA3" w:rsidP="00000DA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ind w:left="540" w:firstLine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 Не имеется___________________________________________________________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(указывается при наличии соответствующего 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нормативного правового акта представительного </w:t>
      </w:r>
      <w:proofErr w:type="gramEnd"/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органа местного самоуправления</w:t>
      </w:r>
      <w:r>
        <w:rPr>
          <w:rFonts w:ascii="Times New Roman" w:hAnsi="Times New Roman" w:cs="Times New Roman"/>
          <w:sz w:val="20"/>
        </w:rPr>
        <w:t>)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Муниципальная услуга предоставляется без взимания платы.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Регистрация заявления о предоставлении муниципальной услуги осуществляется не позднее дня, следующего за днем его поступления.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необходимым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Приём заявителей должен осуществляться в специально выделенном для этих целей помещении.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Места предоставления муниципальной услуги должны быть оборудованы системами </w:t>
      </w:r>
      <w:r>
        <w:rPr>
          <w:rFonts w:ascii="Times New Roman" w:hAnsi="Times New Roman" w:cs="Times New Roman"/>
          <w:sz w:val="24"/>
          <w:szCs w:val="24"/>
        </w:rPr>
        <w:lastRenderedPageBreak/>
        <w:t>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Показателями доступности предоставления муниципальной услуги являются: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Показателем качества предоставления муниципальной услуги являются: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отсутствие очередей при приёме (выдаче) документов;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получении заявителем разрешения на условно разрешенный вид использования земельного участка или объекта капитального строительства (отказа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Предоставление муниципальной услуги включает в себя выполнение следующих административных процедур: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</w:pPr>
      <w:r>
        <w:t>1) прием заявления и документов, их  регистрация;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</w:pPr>
      <w: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</w:pPr>
      <w: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47. Данный перечень административных процедур является исчерпывающим.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48. При предоставлении муниципальной услуги в электронной форме осуществляется: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запись на приём в орган местного самоуправления  </w:t>
      </w:r>
      <w:r>
        <w:t xml:space="preserve">Администрацию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r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формирование запроса;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приём и регистрация органом местного самоуправления</w:t>
      </w:r>
      <w:r>
        <w:t xml:space="preserve"> Администрацией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r>
        <w:rPr>
          <w:rFonts w:eastAsiaTheme="minorHAnsi"/>
          <w:bCs/>
          <w:lang w:eastAsia="en-US"/>
        </w:rPr>
        <w:t xml:space="preserve">  запроса и иных документов, необходимых для предоставления услуги;</w:t>
      </w:r>
      <w:r>
        <w:rPr>
          <w:rFonts w:eastAsiaTheme="minorHAnsi"/>
          <w:lang w:eastAsia="en-US"/>
        </w:rPr>
        <w:t xml:space="preserve">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49. Административные процедуры осуществляются в последовательности, определённой </w:t>
      </w:r>
      <w:hyperlink r:id="rId13" w:history="1">
        <w:r>
          <w:rPr>
            <w:rStyle w:val="aa"/>
            <w:rFonts w:eastAsiaTheme="minorHAnsi"/>
            <w:lang w:eastAsia="en-US"/>
          </w:rPr>
          <w:t>блок-схемой</w:t>
        </w:r>
      </w:hyperlink>
      <w:r>
        <w:rPr>
          <w:rFonts w:eastAsiaTheme="minorHAnsi"/>
          <w:lang w:eastAsia="en-US"/>
        </w:rPr>
        <w:t xml:space="preserve"> предоставления муниципальной услуги (приложение № 2 к настоящему Административному регламенту).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Приём заявления и документов, их регистрация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50.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000DA3" w:rsidRDefault="00000DA3" w:rsidP="00000DA3">
      <w:pPr>
        <w:ind w:firstLine="709"/>
        <w:jc w:val="both"/>
        <w:rPr>
          <w:rFonts w:eastAsiaTheme="minorHAnsi"/>
          <w:lang w:eastAsia="en-US"/>
        </w:rPr>
      </w:pPr>
      <w:r>
        <w:t xml:space="preserve">51. Специалист, ответственный за прием и регистрацию заявления о предоставлении муниципальной услуги и документов, осуществляет </w:t>
      </w:r>
      <w:r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4" w:history="1">
        <w:r>
          <w:rPr>
            <w:rStyle w:val="aa"/>
            <w:rFonts w:eastAsiaTheme="minorHAnsi"/>
            <w:lang w:eastAsia="en-US"/>
          </w:rPr>
          <w:t>пункте 20</w:t>
        </w:r>
      </w:hyperlink>
      <w:r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000DA3" w:rsidRDefault="00000DA3" w:rsidP="00000DA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000DA3" w:rsidRDefault="00000DA3" w:rsidP="00000DA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53.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000DA3" w:rsidRDefault="00000DA3" w:rsidP="00000DA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Время выполнения административной процедуры: осуществляется в течение 2-х дней со дня получения заявления о предоставлении муниципальной услуги.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>
        <w:rPr>
          <w:b/>
        </w:rPr>
        <w:t>Р</w:t>
      </w:r>
      <w:r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000DA3" w:rsidRDefault="00000DA3" w:rsidP="00000D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в ответе на запрос, полученный в результате межведомственного информационного взаимодействия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>
        <w:rPr>
          <w:rFonts w:ascii="Times New Roman" w:hAnsi="Times New Roman" w:cs="Times New Roman"/>
          <w:sz w:val="24"/>
          <w:szCs w:val="24"/>
        </w:rPr>
        <w:t>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заявления, прилагаемых заявителем документов и ответов на запросы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</w:pPr>
      <w:r>
        <w:t>59.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</w:pPr>
      <w:r>
        <w:t xml:space="preserve">60.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61. </w:t>
      </w:r>
      <w:r>
        <w:rPr>
          <w:rFonts w:eastAsiaTheme="minorHAnsi"/>
          <w:lang w:eastAsia="en-US"/>
        </w:rPr>
        <w:t xml:space="preserve">Комиссия в течение 5 дней с момента получения заявления рассматривает полученное заявление на предмет: 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5" w:history="1">
        <w:r>
          <w:rPr>
            <w:rStyle w:val="aa"/>
            <w:rFonts w:eastAsiaTheme="minorHAnsi"/>
            <w:color w:val="0000FF"/>
            <w:lang w:eastAsia="en-US"/>
          </w:rPr>
          <w:t>кодексе</w:t>
        </w:r>
      </w:hyperlink>
      <w:r>
        <w:rPr>
          <w:rFonts w:eastAsiaTheme="minorHAnsi"/>
          <w:lang w:eastAsia="en-US"/>
        </w:rPr>
        <w:t xml:space="preserve"> Российской Федерации;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62. </w:t>
      </w:r>
      <w:proofErr w:type="gramStart"/>
      <w:r>
        <w:rPr>
          <w:rFonts w:eastAsiaTheme="minorHAnsi"/>
          <w:lang w:eastAsia="en-US"/>
        </w:rPr>
        <w:t>Комиссия в срок не позднее чем через 10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участках</w:t>
      </w:r>
      <w:proofErr w:type="gramEnd"/>
      <w:r>
        <w:rPr>
          <w:rFonts w:eastAsiaTheme="minorHAnsi"/>
          <w:lang w:eastAsia="en-US"/>
        </w:rPr>
        <w:t xml:space="preserve">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63.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64. </w:t>
      </w:r>
      <w:r>
        <w:rPr>
          <w:rFonts w:eastAsiaTheme="minorHAnsi"/>
          <w:lang w:eastAsia="en-US"/>
        </w:rPr>
        <w:t>Заключение о результатах публичных слушаний по вопросу предоставления разрешения на условно разрешенный вид использования 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65. На основании заключения о результатах публичных слушаний Комиссия осуществляет подготовку: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Указанные в настоящем пункте Административного регламента документы подготавливаются и направляются главе местной администрации в течение 7-и дней.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66.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местной администрации принимает решение о выдаче разрешения на условно разрешенный вид использования или об отказе в выдаче такого разрешения.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67. Рассмотрение главой местной администрации документов, указанных в настоящем пункте Административного регламента, осуществляется в течение 3-х дней со дня их поступления. 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68.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69.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000DA3" w:rsidRDefault="00000DA3" w:rsidP="00000DA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70. В случае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Уведомление заявителя о принятом решении и выдача разрешения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t>на условно разрешенный вид использования земельного участка или объекта капитального строительства (мотивированного отказа в выдаче</w:t>
      </w:r>
      <w:proofErr w:type="gramEnd"/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разрешения на условно разрешенный вид использования земельного участка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или объекта капитального строительства)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Основанием для начала административной процедуры является подписание высшим должностным лицом органа местного самоуправления разре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(мотивированный отказ в </w:t>
      </w:r>
      <w:r>
        <w:rPr>
          <w:rFonts w:ascii="Times New Roman" w:eastAsiaTheme="minorHAnsi" w:hAnsi="Times New Roman" w:cs="Times New Roman"/>
          <w:lang w:eastAsia="en-US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разре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 осуществляется у</w:t>
      </w:r>
      <w:r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Время выполнения административной процедуры: осуществляется не позднее 3-х дней.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Результатом выполнения административной процедуры является выдача заявителю: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мотивированный отказ в </w:t>
      </w:r>
      <w:r>
        <w:rPr>
          <w:rFonts w:ascii="Times New Roman" w:eastAsiaTheme="minorHAnsi" w:hAnsi="Times New Roman" w:cs="Times New Roman"/>
          <w:lang w:eastAsia="en-US"/>
        </w:rPr>
        <w:t>выдаче</w:t>
      </w:r>
      <w:r>
        <w:rPr>
          <w:rFonts w:ascii="Times New Roman" w:hAnsi="Times New Roman" w:cs="Times New Roman"/>
          <w:sz w:val="24"/>
          <w:szCs w:val="24"/>
        </w:rPr>
        <w:t xml:space="preserve"> разре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шения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DA3" w:rsidRDefault="00000DA3" w:rsidP="00000DA3">
      <w:pPr>
        <w:pStyle w:val="af0"/>
        <w:widowControl w:val="0"/>
        <w:autoSpaceDE w:val="0"/>
        <w:autoSpaceDN w:val="0"/>
        <w:ind w:left="0" w:firstLine="567"/>
        <w:jc w:val="both"/>
      </w:pPr>
      <w:proofErr w:type="gramStart"/>
      <w:r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>
        <w:t xml:space="preserve"> В данном случае документы готовятся в формате </w:t>
      </w:r>
      <w:proofErr w:type="spellStart"/>
      <w:r>
        <w:t>pdf</w:t>
      </w:r>
      <w:proofErr w:type="spellEnd"/>
      <w: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>
        <w:t xml:space="preserve">Указанные документы в формате электронного архива </w:t>
      </w:r>
      <w:r>
        <w:rPr>
          <w:lang w:val="en-US"/>
        </w:rPr>
        <w:t>zip</w:t>
      </w:r>
      <w:r>
        <w:t xml:space="preserve"> направляются в личный кабинет заявителя).</w:t>
      </w:r>
      <w:proofErr w:type="gramEnd"/>
    </w:p>
    <w:p w:rsidR="00000DA3" w:rsidRDefault="00000DA3" w:rsidP="00000DA3">
      <w:pPr>
        <w:widowControl w:val="0"/>
        <w:autoSpaceDE w:val="0"/>
        <w:autoSpaceDN w:val="0"/>
        <w:ind w:firstLine="540"/>
        <w:jc w:val="both"/>
      </w:pPr>
      <w:r>
        <w:t xml:space="preserve">75.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>
        <w:rPr>
          <w:rFonts w:eastAsia="Calibri"/>
          <w:lang w:eastAsia="en-US"/>
        </w:rPr>
        <w:t>в МФЦ</w:t>
      </w:r>
      <w:r>
        <w:t>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00DA3" w:rsidRDefault="00000DA3" w:rsidP="00000D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Текущий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</w:t>
      </w:r>
      <w:r>
        <w:rPr>
          <w:rFonts w:ascii="Times New Roman" w:hAnsi="Times New Roman" w:cs="Times New Roman"/>
          <w:sz w:val="24"/>
          <w:szCs w:val="24"/>
        </w:rPr>
        <w:lastRenderedPageBreak/>
        <w:t>устранению.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000DA3" w:rsidRDefault="00000DA3" w:rsidP="00000D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</w:p>
    <w:p w:rsidR="00000DA3" w:rsidRDefault="00000DA3" w:rsidP="00000DA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widowControl w:val="0"/>
        <w:autoSpaceDE w:val="0"/>
        <w:autoSpaceDN w:val="0"/>
        <w:adjustRightInd w:val="0"/>
        <w:jc w:val="both"/>
      </w:pPr>
      <w:r>
        <w:tab/>
        <w:t>84. Заявитель может обратиться с жалобой, в том числе в следующих случаях:</w:t>
      </w:r>
    </w:p>
    <w:p w:rsidR="00000DA3" w:rsidRDefault="00000DA3" w:rsidP="00000DA3">
      <w:pPr>
        <w:autoSpaceDE w:val="0"/>
        <w:autoSpaceDN w:val="0"/>
        <w:adjustRightInd w:val="0"/>
        <w:ind w:left="284" w:firstLine="283"/>
        <w:jc w:val="both"/>
      </w:pPr>
      <w:r>
        <w:t xml:space="preserve">1) нарушение срока регистрации запроса о предоставлении муниципальной услуги, запроса, указанного в </w:t>
      </w:r>
      <w:hyperlink r:id="rId16" w:history="1">
        <w:r>
          <w:rPr>
            <w:rStyle w:val="aa"/>
          </w:rPr>
          <w:t>статье 15.1</w:t>
        </w:r>
      </w:hyperlink>
      <w:r>
        <w:t xml:space="preserve"> №210-ФЗ;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>
          <w:rPr>
            <w:rStyle w:val="aa"/>
          </w:rPr>
          <w:t>частью 1.3 статьи 16</w:t>
        </w:r>
      </w:hyperlink>
      <w:r>
        <w:t xml:space="preserve"> №210-ФЗ;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proofErr w:type="gramStart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  <w:proofErr w:type="gramEnd"/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proofErr w:type="gramStart"/>
      <w: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>
          <w:rPr>
            <w:rStyle w:val="aa"/>
          </w:rPr>
          <w:t>частью 1.3 статьи 16</w:t>
        </w:r>
      </w:hyperlink>
      <w:r>
        <w:t xml:space="preserve"> №210-ФЗ;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9" w:history="1">
        <w:r>
          <w:rPr>
            <w:rStyle w:val="aa"/>
          </w:rPr>
          <w:t>частью 1.1 статьи 16</w:t>
        </w:r>
      </w:hyperlink>
      <w: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0" w:history="1">
        <w:r>
          <w:rPr>
            <w:rStyle w:val="aa"/>
          </w:rPr>
          <w:t>частью 1.3 статьи 16</w:t>
        </w:r>
      </w:hyperlink>
      <w:r>
        <w:t xml:space="preserve"> №210-ФЗ.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1" w:history="1">
        <w:r>
          <w:rPr>
            <w:rStyle w:val="aa"/>
          </w:rPr>
          <w:t>частью 1.3 статьи 16</w:t>
        </w:r>
      </w:hyperlink>
      <w:r>
        <w:t xml:space="preserve"> № 210-ФЗ.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>Предмет жалобы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85. </w:t>
      </w:r>
      <w:proofErr w:type="gramStart"/>
      <w:r>
        <w:rPr>
          <w:lang w:eastAsia="en-US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>
        <w:t xml:space="preserve">Администрации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r>
        <w:rPr>
          <w:lang w:eastAsia="en-US"/>
        </w:rPr>
        <w:t xml:space="preserve"> и его должностных лиц, муниципальных служащих органа местного самоуправления</w:t>
      </w:r>
      <w:r>
        <w:t xml:space="preserve"> Администрации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r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</w:t>
      </w:r>
      <w:proofErr w:type="gramEnd"/>
      <w:r>
        <w:rPr>
          <w:lang w:eastAsia="en-US"/>
        </w:rPr>
        <w:t xml:space="preserve"> области, при предоставлении муниципальной услуги.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86. Жалоба должна содержать: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t xml:space="preserve">2) фамилию, имя, отчество (последнее - при наличии), сведения о месте жительства </w:t>
      </w:r>
      <w:r>
        <w:lastRenderedPageBreak/>
        <w:t>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r>
        <w:t>3) сведения об обжалуемых решениях и действиях (бездействии);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72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>Органы  местного самоуправления</w:t>
      </w:r>
      <w:r>
        <w:rPr>
          <w:b/>
          <w:lang w:eastAsia="en-US"/>
        </w:rPr>
        <w:br/>
        <w:t>и уполномоченные на рассмотрение жалобы должностные лица,</w:t>
      </w:r>
    </w:p>
    <w:p w:rsidR="00000DA3" w:rsidRDefault="00000DA3" w:rsidP="00000DA3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которым может быть направлена жалоба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87. Жалоба рассматривается органом местного самоуправления </w:t>
      </w:r>
      <w:r>
        <w:t xml:space="preserve">Администрацией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r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2" w:history="1">
        <w:r>
          <w:rPr>
            <w:rStyle w:val="aa"/>
          </w:rPr>
          <w:t>частью 1.1 статьи 16</w:t>
        </w:r>
      </w:hyperlink>
      <w:r>
        <w:t xml:space="preserve"> № 210-ФЗ, подаются руководителям этих организаций.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>Порядок подачи и рассмотрения жалобы</w:t>
      </w: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rPr>
          <w:lang w:eastAsia="en-US"/>
        </w:rPr>
        <w:t xml:space="preserve">88. </w:t>
      </w:r>
      <w:proofErr w:type="gramStart"/>
      <w:r>
        <w:rPr>
          <w:lang w:eastAsia="en-US"/>
        </w:rPr>
        <w:t>Жалоба подается в письменной форме на бумажном носителе</w:t>
      </w:r>
      <w:r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>
        <w:t xml:space="preserve">предусмотренных </w:t>
      </w:r>
      <w:hyperlink r:id="rId23" w:history="1">
        <w:r>
          <w:rPr>
            <w:rStyle w:val="aa"/>
          </w:rPr>
          <w:t>частью 1.1 статьи 16</w:t>
        </w:r>
      </w:hyperlink>
      <w:r>
        <w:t xml:space="preserve"> № 210-ФЗ,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 xml:space="preserve"> а также может быть принята при</w:t>
      </w:r>
      <w:proofErr w:type="gramEnd"/>
      <w:r>
        <w:rPr>
          <w:bCs/>
          <w:lang w:eastAsia="en-US"/>
        </w:rPr>
        <w:t xml:space="preserve"> личном </w:t>
      </w:r>
      <w:proofErr w:type="gramStart"/>
      <w:r>
        <w:rPr>
          <w:bCs/>
          <w:lang w:eastAsia="en-US"/>
        </w:rPr>
        <w:t>приеме</w:t>
      </w:r>
      <w:proofErr w:type="gramEnd"/>
      <w:r>
        <w:rPr>
          <w:bCs/>
          <w:lang w:eastAsia="en-US"/>
        </w:rPr>
        <w:t xml:space="preserve"> заявителя в органе местного самоуправления</w:t>
      </w:r>
      <w:r>
        <w:t xml:space="preserve">. 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89. </w:t>
      </w:r>
      <w:r>
        <w:rPr>
          <w:rFonts w:eastAsiaTheme="minorHAnsi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eastAsiaTheme="minorHAnsi"/>
          <w:lang w:eastAsia="en-US"/>
        </w:rPr>
        <w:t>представлена</w:t>
      </w:r>
      <w:proofErr w:type="gramEnd"/>
      <w:r>
        <w:rPr>
          <w:rFonts w:eastAsiaTheme="minorHAnsi"/>
          <w:lang w:eastAsia="en-US"/>
        </w:rPr>
        <w:t>:</w:t>
      </w:r>
    </w:p>
    <w:p w:rsidR="00000DA3" w:rsidRDefault="00000DA3" w:rsidP="00000DA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000DA3" w:rsidRDefault="00000DA3" w:rsidP="00000DA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90.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Жалоба в письменной форме может также быть направлена по почте.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91.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92.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</w:pPr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4" w:history="1">
        <w:r>
          <w:rPr>
            <w:rStyle w:val="aa"/>
          </w:rPr>
          <w:t>статьей</w:t>
        </w:r>
      </w:hyperlink>
      <w: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93. </w:t>
      </w:r>
      <w:r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hyperlink r:id="rId25" w:history="1">
        <w:r>
          <w:rPr>
            <w:rStyle w:val="aa"/>
            <w:rFonts w:eastAsiaTheme="minorHAnsi"/>
            <w:lang w:eastAsia="en-US"/>
          </w:rPr>
          <w:t>статьей 5.63</w:t>
        </w:r>
      </w:hyperlink>
      <w:r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>
        <w:rPr>
          <w:b/>
          <w:lang w:eastAsia="en-US"/>
        </w:rPr>
        <w:t>Сроки рассмотрения жалобы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 xml:space="preserve">94. </w:t>
      </w:r>
      <w:proofErr w:type="gramStart"/>
      <w:r>
        <w:rPr>
          <w:bCs/>
          <w:lang w:eastAsia="en-US"/>
        </w:rPr>
        <w:t xml:space="preserve">Жалоба, поступившая в орган, предоставляющий </w:t>
      </w:r>
      <w:r>
        <w:rPr>
          <w:lang w:eastAsia="en-US"/>
        </w:rPr>
        <w:t>муниципальную</w:t>
      </w:r>
      <w:r>
        <w:rPr>
          <w:bCs/>
          <w:lang w:eastAsia="en-US"/>
        </w:rPr>
        <w:t xml:space="preserve"> услугу, МФЦ, учредителю МФЦ, в организации, </w:t>
      </w:r>
      <w:r>
        <w:t xml:space="preserve">предусмотренные </w:t>
      </w:r>
      <w:hyperlink r:id="rId26" w:history="1">
        <w:r>
          <w:rPr>
            <w:rStyle w:val="aa"/>
          </w:rPr>
          <w:t>частью 1.1 статьи 16</w:t>
        </w:r>
      </w:hyperlink>
      <w:r>
        <w:t xml:space="preserve"> № 210-ФЗ, </w:t>
      </w:r>
      <w:r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>
        <w:rPr>
          <w:lang w:eastAsia="en-US"/>
        </w:rPr>
        <w:t>муниципальную</w:t>
      </w:r>
      <w:r>
        <w:rPr>
          <w:bCs/>
          <w:lang w:eastAsia="en-US"/>
        </w:rPr>
        <w:t xml:space="preserve"> услугу, должностного лица органа, предоставляющего </w:t>
      </w:r>
      <w:r>
        <w:rPr>
          <w:lang w:eastAsia="en-US"/>
        </w:rPr>
        <w:t>муниципальную</w:t>
      </w:r>
      <w:r>
        <w:rPr>
          <w:bCs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>
        <w:rPr>
          <w:bCs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>
        <w:rPr>
          <w:b/>
          <w:lang w:eastAsia="en-US"/>
        </w:rPr>
        <w:t>Результат рассмотрения жалобы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95. По результатам рассмотрения жалобы принимается одно из следующих решений:</w:t>
      </w:r>
    </w:p>
    <w:p w:rsidR="00000DA3" w:rsidRDefault="00000DA3" w:rsidP="00000DA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</w:t>
      </w:r>
      <w:r>
        <w:rPr>
          <w:rFonts w:eastAsiaTheme="minorHAnsi"/>
          <w:lang w:eastAsia="en-US"/>
        </w:rPr>
        <w:lastRenderedPageBreak/>
        <w:t xml:space="preserve">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000DA3" w:rsidRDefault="00000DA3" w:rsidP="00000DA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удовлетворении жалобы отказывается.</w:t>
      </w:r>
    </w:p>
    <w:p w:rsidR="00000DA3" w:rsidRDefault="00000DA3" w:rsidP="00000DA3">
      <w:pPr>
        <w:autoSpaceDE w:val="0"/>
        <w:autoSpaceDN w:val="0"/>
        <w:adjustRightInd w:val="0"/>
        <w:rPr>
          <w:b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 xml:space="preserve">96.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r:id="rId27" w:anchor="Par25" w:history="1">
        <w:r>
          <w:rPr>
            <w:rStyle w:val="aa"/>
            <w:bCs/>
            <w:lang w:eastAsia="en-US"/>
          </w:rPr>
          <w:t>пункте</w:t>
        </w:r>
      </w:hyperlink>
      <w:r>
        <w:rPr>
          <w:bCs/>
          <w:lang w:eastAsia="en-US"/>
        </w:rPr>
        <w:t xml:space="preserve"> 95 Административного регламента.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Cs/>
          <w:lang w:eastAsia="en-US"/>
        </w:rPr>
        <w:t xml:space="preserve">97. </w:t>
      </w:r>
      <w: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000DA3" w:rsidRDefault="00000DA3" w:rsidP="00000D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 xml:space="preserve">98. </w:t>
      </w:r>
      <w:r>
        <w:rPr>
          <w:lang w:eastAsia="en-US"/>
        </w:rPr>
        <w:t>Заявитель вправе обжаловать принятое по жалобе решение в порядке, установленном пунктом 87 настоящего Административного регламента.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Право заявителя на получение информации и документов,</w:t>
      </w:r>
    </w:p>
    <w:p w:rsidR="00000DA3" w:rsidRDefault="00000DA3" w:rsidP="00000DA3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proofErr w:type="gramStart"/>
      <w:r>
        <w:rPr>
          <w:b/>
          <w:bCs/>
          <w:lang w:eastAsia="en-US"/>
        </w:rPr>
        <w:t>необходимых</w:t>
      </w:r>
      <w:proofErr w:type="gramEnd"/>
      <w:r>
        <w:rPr>
          <w:b/>
          <w:bCs/>
          <w:lang w:eastAsia="en-US"/>
        </w:rPr>
        <w:t xml:space="preserve"> для обоснования и рассмотрения жалобы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99.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Способы информирования заявителя</w:t>
      </w:r>
    </w:p>
    <w:p w:rsidR="00000DA3" w:rsidRDefault="00000DA3" w:rsidP="00000DA3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 порядке подачи и рассмотрения жалобы</w:t>
      </w:r>
    </w:p>
    <w:p w:rsidR="00000DA3" w:rsidRDefault="00000DA3" w:rsidP="00000DA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100. Информирование заявителей о порядке подачи и рассмотрения жалобы осуществляется следующими способами: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000DA3" w:rsidRDefault="00000DA3" w:rsidP="00000DA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000DA3" w:rsidRDefault="00000DA3" w:rsidP="00000DA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_________________</w:t>
      </w: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>
      <w:pPr>
        <w:ind w:left="7371"/>
      </w:pPr>
    </w:p>
    <w:p w:rsidR="00000DA3" w:rsidRDefault="00000DA3" w:rsidP="00000DA3"/>
    <w:p w:rsidR="00000DA3" w:rsidRDefault="00000DA3" w:rsidP="00000DA3">
      <w:pPr>
        <w:ind w:left="7371"/>
      </w:pPr>
      <w:r>
        <w:lastRenderedPageBreak/>
        <w:t xml:space="preserve">Приложение №1 к </w:t>
      </w:r>
      <w:proofErr w:type="gramStart"/>
      <w:r>
        <w:t>Административному</w:t>
      </w:r>
      <w:proofErr w:type="gramEnd"/>
    </w:p>
    <w:p w:rsidR="00000DA3" w:rsidRDefault="00000DA3" w:rsidP="00000DA3">
      <w:pPr>
        <w:ind w:left="7371"/>
      </w:pPr>
      <w:r>
        <w:t xml:space="preserve">регламенту </w:t>
      </w:r>
      <w:r>
        <w:rPr>
          <w:bCs/>
        </w:rPr>
        <w:t xml:space="preserve"> </w:t>
      </w:r>
    </w:p>
    <w:p w:rsidR="00000DA3" w:rsidRDefault="00000DA3" w:rsidP="00000DA3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</w:pPr>
    </w:p>
    <w:tbl>
      <w:tblPr>
        <w:tblW w:w="10320" w:type="dxa"/>
        <w:tblLayout w:type="fixed"/>
        <w:tblLook w:val="04A0"/>
      </w:tblPr>
      <w:tblGrid>
        <w:gridCol w:w="10320"/>
      </w:tblGrid>
      <w:tr w:rsidR="00000DA3" w:rsidTr="00000DA3">
        <w:tc>
          <w:tcPr>
            <w:tcW w:w="10314" w:type="dxa"/>
            <w:hideMark/>
          </w:tcPr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органа местного самоуправления: 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</w:tc>
      </w:tr>
      <w:tr w:rsidR="00000DA3" w:rsidTr="00000DA3">
        <w:tc>
          <w:tcPr>
            <w:tcW w:w="10314" w:type="dxa"/>
          </w:tcPr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заявителе: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(Ф.И.О. руководителя или иного уполномоченного лица)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личность: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 документа, серия, номер)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(кем, когда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) - для физических лиц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 (ОГРНИП) 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почта 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места нахождения (регистрации):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__________________________________________________________________________________________</w:t>
            </w:r>
          </w:p>
          <w:p w:rsidR="00000DA3" w:rsidRDefault="00000DA3">
            <w:pPr>
              <w:pStyle w:val="ConsPlusNonformat"/>
              <w:spacing w:line="276" w:lineRule="auto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0DA3" w:rsidRDefault="00000DA3" w:rsidP="00000DA3"/>
    <w:p w:rsidR="00000DA3" w:rsidRDefault="00000DA3" w:rsidP="00000DA3">
      <w:pPr>
        <w:jc w:val="center"/>
      </w:pPr>
      <w:r>
        <w:t>Заявление</w:t>
      </w:r>
    </w:p>
    <w:p w:rsidR="00000DA3" w:rsidRDefault="00000DA3" w:rsidP="00000D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 выдаче разрешения на условно разрешенный вид использования </w:t>
      </w:r>
    </w:p>
    <w:p w:rsidR="00000DA3" w:rsidRDefault="00000DA3" w:rsidP="00000D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земельного участка или объекта капитального строительства</w:t>
      </w:r>
    </w:p>
    <w:p w:rsidR="00000DA3" w:rsidRDefault="00000DA3" w:rsidP="00000DA3">
      <w:pPr>
        <w:jc w:val="center"/>
      </w:pPr>
      <w:r>
        <w:t>от «____» ________________20__</w:t>
      </w:r>
    </w:p>
    <w:p w:rsidR="00000DA3" w:rsidRDefault="00000DA3" w:rsidP="00000DA3">
      <w:pPr>
        <w:jc w:val="center"/>
      </w:pPr>
    </w:p>
    <w:p w:rsidR="00000DA3" w:rsidRDefault="00000DA3" w:rsidP="00000DA3">
      <w:pPr>
        <w:ind w:firstLine="708"/>
        <w:jc w:val="both"/>
      </w:pPr>
    </w:p>
    <w:p w:rsidR="00000DA3" w:rsidRDefault="00000DA3" w:rsidP="00000DA3">
      <w:pPr>
        <w:ind w:firstLine="708"/>
        <w:jc w:val="both"/>
      </w:pPr>
      <w:r>
        <w:lastRenderedPageBreak/>
        <w:t>В соответствии со статьей 39 Градостроительного кодекса Российской Федерации, прошу 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</w:t>
      </w:r>
    </w:p>
    <w:p w:rsidR="00000DA3" w:rsidRDefault="00000DA3" w:rsidP="00000DA3">
      <w:pPr>
        <w:jc w:val="both"/>
      </w:pPr>
      <w:r>
        <w:t>____________________________________________________________________________________</w:t>
      </w:r>
    </w:p>
    <w:p w:rsidR="00000DA3" w:rsidRDefault="00000DA3" w:rsidP="00000DA3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000DA3" w:rsidRDefault="00000DA3" w:rsidP="00000DA3">
      <w:pPr>
        <w:jc w:val="both"/>
      </w:pPr>
    </w:p>
    <w:p w:rsidR="00000DA3" w:rsidRDefault="00000DA3" w:rsidP="00000DA3">
      <w:pPr>
        <w:jc w:val="both"/>
      </w:pPr>
      <w:r>
        <w:t>____________________________________________________________________________________</w:t>
      </w:r>
    </w:p>
    <w:p w:rsidR="00000DA3" w:rsidRDefault="00000DA3" w:rsidP="00000DA3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:rsidR="00000DA3" w:rsidRDefault="00000DA3" w:rsidP="00000DA3">
      <w:pPr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___________________________________________________________.</w:t>
      </w:r>
    </w:p>
    <w:p w:rsidR="00000DA3" w:rsidRDefault="00000DA3" w:rsidP="00000DA3">
      <w:pPr>
        <w:jc w:val="both"/>
      </w:pPr>
    </w:p>
    <w:p w:rsidR="00000DA3" w:rsidRDefault="00000DA3" w:rsidP="00000DA3">
      <w:pPr>
        <w:jc w:val="both"/>
      </w:pPr>
      <w: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DA3" w:rsidRDefault="00000DA3" w:rsidP="00000DA3">
      <w:pPr>
        <w:jc w:val="both"/>
      </w:pPr>
    </w:p>
    <w:p w:rsidR="00000DA3" w:rsidRDefault="00000DA3" w:rsidP="00000DA3">
      <w:pPr>
        <w:ind w:firstLine="708"/>
        <w:jc w:val="both"/>
      </w:pPr>
      <w: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000DA3" w:rsidRDefault="00000DA3" w:rsidP="00000DA3">
      <w:pPr>
        <w:ind w:firstLine="708"/>
        <w:jc w:val="both"/>
      </w:pPr>
    </w:p>
    <w:p w:rsidR="00000DA3" w:rsidRDefault="00000DA3" w:rsidP="00000DA3">
      <w:pPr>
        <w:jc w:val="both"/>
      </w:pPr>
      <w: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>
        <w:t xml:space="preserve"> ___-___-___-__</w:t>
      </w:r>
      <w:proofErr w:type="gramEnd"/>
    </w:p>
    <w:p w:rsidR="00000DA3" w:rsidRDefault="00000DA3" w:rsidP="00000DA3">
      <w:pPr>
        <w:ind w:firstLine="708"/>
        <w:jc w:val="both"/>
      </w:pPr>
    </w:p>
    <w:p w:rsidR="00000DA3" w:rsidRDefault="00000DA3" w:rsidP="00000DA3">
      <w:pPr>
        <w:ind w:firstLine="708"/>
        <w:jc w:val="both"/>
      </w:pPr>
      <w:r>
        <w:t>ДА/НЕТ Прошу произвести регистрацию в ЕСИА (только для физического лица).</w:t>
      </w:r>
    </w:p>
    <w:p w:rsidR="00000DA3" w:rsidRDefault="00000DA3" w:rsidP="00000DA3">
      <w:pPr>
        <w:ind w:firstLine="708"/>
        <w:jc w:val="both"/>
      </w:pPr>
      <w:r>
        <w:t>СНИЛС</w:t>
      </w:r>
      <w:proofErr w:type="gramStart"/>
      <w:r>
        <w:t xml:space="preserve"> ___-___-___-__</w:t>
      </w:r>
      <w:proofErr w:type="gramEnd"/>
    </w:p>
    <w:p w:rsidR="00000DA3" w:rsidRDefault="00000DA3" w:rsidP="00000DA3">
      <w:pPr>
        <w:ind w:firstLine="708"/>
        <w:jc w:val="both"/>
      </w:pPr>
    </w:p>
    <w:p w:rsidR="00000DA3" w:rsidRDefault="00000DA3" w:rsidP="00000DA3">
      <w:pPr>
        <w:ind w:firstLine="708"/>
        <w:jc w:val="both"/>
      </w:pPr>
      <w:r>
        <w:t>ДА/НЕТ Прошу подтвердить регистрацию учетной записи в ЕСИА</w:t>
      </w:r>
    </w:p>
    <w:p w:rsidR="00000DA3" w:rsidRDefault="00000DA3" w:rsidP="00000DA3">
      <w:pPr>
        <w:ind w:firstLine="708"/>
        <w:jc w:val="both"/>
      </w:pPr>
    </w:p>
    <w:p w:rsidR="00000DA3" w:rsidRDefault="00000DA3" w:rsidP="00000DA3">
      <w:pPr>
        <w:ind w:firstLine="708"/>
        <w:jc w:val="both"/>
      </w:pPr>
      <w:r>
        <w:t>ДА/НЕТ Прошу восстановить доступ в ЕСИА</w:t>
      </w:r>
    </w:p>
    <w:p w:rsidR="00000DA3" w:rsidRDefault="00000DA3" w:rsidP="00000DA3">
      <w:pPr>
        <w:jc w:val="both"/>
      </w:pPr>
    </w:p>
    <w:p w:rsidR="00000DA3" w:rsidRDefault="00000DA3" w:rsidP="00000DA3">
      <w:pPr>
        <w:jc w:val="both"/>
      </w:pPr>
    </w:p>
    <w:tbl>
      <w:tblPr>
        <w:tblW w:w="0" w:type="auto"/>
        <w:tblLook w:val="04A0"/>
      </w:tblPr>
      <w:tblGrid>
        <w:gridCol w:w="3622"/>
        <w:gridCol w:w="422"/>
        <w:gridCol w:w="2529"/>
        <w:gridCol w:w="561"/>
        <w:gridCol w:w="3195"/>
      </w:tblGrid>
      <w:tr w:rsidR="00000DA3" w:rsidTr="00000DA3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000DA3" w:rsidRDefault="00000DA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000DA3" w:rsidRDefault="00000DA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000DA3" w:rsidTr="00000DA3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DA3" w:rsidRDefault="0000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</w:tcPr>
          <w:p w:rsidR="00000DA3" w:rsidRDefault="00000D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DA3" w:rsidRDefault="0000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(личная подпись)</w:t>
            </w:r>
          </w:p>
        </w:tc>
        <w:tc>
          <w:tcPr>
            <w:tcW w:w="567" w:type="dxa"/>
          </w:tcPr>
          <w:p w:rsidR="00000DA3" w:rsidRDefault="00000D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DA3" w:rsidRDefault="00000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 и инициалы)</w:t>
            </w:r>
          </w:p>
        </w:tc>
      </w:tr>
    </w:tbl>
    <w:p w:rsidR="00000DA3" w:rsidRDefault="00000DA3" w:rsidP="00000DA3">
      <w:pPr>
        <w:jc w:val="both"/>
      </w:pPr>
      <w:r>
        <w:t xml:space="preserve"> </w:t>
      </w:r>
    </w:p>
    <w:p w:rsidR="00000DA3" w:rsidRDefault="00000DA3" w:rsidP="00000DA3">
      <w:pPr>
        <w:jc w:val="both"/>
      </w:pPr>
      <w:r>
        <w:t>для юридического лица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«____» ___________ 20___ г.       </w:t>
      </w:r>
    </w:p>
    <w:p w:rsidR="00000DA3" w:rsidRDefault="00000DA3" w:rsidP="00000DA3">
      <w:pPr>
        <w:jc w:val="both"/>
      </w:pPr>
      <w:r>
        <w:tab/>
        <w:t xml:space="preserve">М.П. </w:t>
      </w:r>
    </w:p>
    <w:p w:rsidR="00000DA3" w:rsidRDefault="00000DA3" w:rsidP="00000DA3">
      <w:pPr>
        <w:jc w:val="both"/>
      </w:pPr>
    </w:p>
    <w:p w:rsidR="00000DA3" w:rsidRDefault="00000DA3" w:rsidP="0000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00DA3" w:rsidRDefault="00000DA3" w:rsidP="00000DA3">
      <w:r>
        <w:t xml:space="preserve"> </w:t>
      </w:r>
    </w:p>
    <w:p w:rsidR="00000DA3" w:rsidRDefault="00000DA3" w:rsidP="00000DA3"/>
    <w:p w:rsidR="00000DA3" w:rsidRDefault="00000DA3" w:rsidP="00000DA3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 2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к Административному</w:t>
      </w:r>
    </w:p>
    <w:p w:rsidR="00000DA3" w:rsidRDefault="00000DA3" w:rsidP="00000DA3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регламенту</w:t>
      </w:r>
    </w:p>
    <w:p w:rsidR="00000DA3" w:rsidRDefault="00000DA3" w:rsidP="00000DA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Блок-схема </w:t>
      </w:r>
    </w:p>
    <w:p w:rsidR="00000DA3" w:rsidRDefault="00000DA3" w:rsidP="00000DA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исполнения предоставления муниципальной услуги </w:t>
      </w:r>
    </w:p>
    <w:p w:rsidR="00000DA3" w:rsidRDefault="00000DA3" w:rsidP="00000DA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«Выдача разрешения на условно разрешенный вид использования </w:t>
      </w:r>
    </w:p>
    <w:p w:rsidR="00000DA3" w:rsidRDefault="00000DA3" w:rsidP="00000DA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земельного участка или объекта капитального строительства» </w:t>
      </w:r>
    </w:p>
    <w:p w:rsidR="00000DA3" w:rsidRDefault="00000DA3" w:rsidP="00000DA3">
      <w:pPr>
        <w:widowControl w:val="0"/>
        <w:suppressAutoHyphens/>
        <w:autoSpaceDE w:val="0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Заявитель</w: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40" type="#_x0000_t32" style="position:absolute;left:0;text-align:left;margin-left:387.45pt;margin-top:.6pt;width:0;height:30pt;z-index:251674624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lang w:eastAsia="en-US"/>
              </w:rPr>
              <w:pict>
                <v:shape id="Прямая со стрелкой 3" o:spid="_x0000_s1039" type="#_x0000_t32" style="position:absolute;left:0;text-align:left;margin-left:234.45pt;margin-top:.6pt;width:0;height:30pt;z-index:25167360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lang w:eastAsia="en-US"/>
              </w:rPr>
              <w:pict>
                <v:shape id="Прямая со стрелкой 2" o:spid="_x0000_s1038" type="#_x0000_t32" style="position:absolute;left:0;text-align:left;margin-left:67.2pt;margin-top:.6pt;width:.75pt;height:30pt;flip:x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6" o:spid="_x0000_s1041" type="#_x0000_t32" style="position:absolute;left:0;text-align:left;margin-left:140.7pt;margin-top:15.55pt;width:21.75pt;height: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8" o:spid="_x0000_s1043" type="#_x0000_t32" style="position:absolute;left:0;text-align:left;margin-left:135pt;margin-top:15.55pt;width:22.5pt;height:0;flip:x;z-index:25167769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Портал</w:t>
            </w:r>
          </w:p>
        </w:tc>
      </w:tr>
      <w:tr w:rsidR="00000DA3" w:rsidTr="00000DA3"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7" o:spid="_x0000_s1042" type="#_x0000_t32" style="position:absolute;left:0;text-align:left;margin-left:234.45pt;margin-top:-.25pt;width:0;height:31.5pt;z-index:25167667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9" o:spid="_x0000_s1044" type="#_x0000_t32" style="position:absolute;left:0;text-align:left;margin-left:234.45pt;margin-top:-.3pt;width:0;height:30.75pt;z-index:25167872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10" o:spid="_x0000_s1045" type="#_x0000_t32" style="position:absolute;left:0;text-align:left;margin-left:234.45pt;margin-top:.55pt;width:0;height:30pt;z-index:25167974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00DA3" w:rsidRDefault="00000D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Рассмотрение документов, представленных заявителем и ответов на запросы,</w:t>
            </w:r>
          </w:p>
          <w:p w:rsidR="00000DA3" w:rsidRDefault="00000D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полученные в результате межведомственного</w:t>
            </w:r>
            <w:r>
              <w:rPr>
                <w:lang w:eastAsia="en-US"/>
              </w:rPr>
              <w:t xml:space="preserve"> информационного</w:t>
            </w:r>
            <w:r>
              <w:rPr>
                <w:rFonts w:eastAsia="Calibri"/>
                <w:lang w:eastAsia="en-US"/>
              </w:rPr>
              <w:t xml:space="preserve"> взаимодействия</w:t>
            </w:r>
            <w:proofErr w:type="gramEnd"/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12" o:spid="_x0000_s1047" type="#_x0000_t32" style="position:absolute;left:0;text-align:left;margin-left:351.45pt;margin-top:-.3pt;width:.75pt;height:31.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lang w:eastAsia="en-US"/>
              </w:rPr>
              <w:pict>
                <v:shape id="Прямая со стрелкой 11" o:spid="_x0000_s1046" type="#_x0000_t32" style="position:absolute;left:0;text-align:left;margin-left:109.95pt;margin-top:-.3pt;width:0;height:31.5pt;z-index:25168076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000DA3" w:rsidTr="00000DA3"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pict>
                <v:shape id="Прямая со стрелкой 14" o:spid="_x0000_s1049" type="#_x0000_t32" style="position:absolute;left:0;text-align:left;margin-left:351.45pt;margin-top:.6pt;width:.75pt;height:30.7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lang w:eastAsia="en-US"/>
              </w:rPr>
              <w:pict>
                <v:shape id="Прямая со стрелкой 13" o:spid="_x0000_s1048" type="#_x0000_t32" style="position:absolute;left:0;text-align:left;margin-left:109.95pt;margin-top:.6pt;width:0;height:30.75pt;z-index:25168281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00DA3" w:rsidTr="00000DA3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3" w:rsidRDefault="00000D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00DA3" w:rsidRDefault="00000DA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</w:t>
            </w:r>
          </w:p>
        </w:tc>
      </w:tr>
    </w:tbl>
    <w:p w:rsidR="00000DA3" w:rsidRDefault="00000DA3" w:rsidP="00000DA3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sectPr w:rsidR="00000DA3" w:rsidSect="0019202F">
      <w:pgSz w:w="12240" w:h="15840" w:code="1"/>
      <w:pgMar w:top="1134" w:right="567" w:bottom="1134" w:left="1560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906" w:rsidRDefault="00402906">
      <w:r>
        <w:separator/>
      </w:r>
    </w:p>
  </w:endnote>
  <w:endnote w:type="continuationSeparator" w:id="0">
    <w:p w:rsidR="00402906" w:rsidRDefault="00402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906" w:rsidRDefault="00402906">
      <w:r>
        <w:separator/>
      </w:r>
    </w:p>
  </w:footnote>
  <w:footnote w:type="continuationSeparator" w:id="0">
    <w:p w:rsidR="00402906" w:rsidRDefault="00402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E35993"/>
    <w:multiLevelType w:val="hybridMultilevel"/>
    <w:tmpl w:val="7BDE6E32"/>
    <w:lvl w:ilvl="0" w:tplc="3E3846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EB"/>
    <w:rsid w:val="00000DA3"/>
    <w:rsid w:val="000100F7"/>
    <w:rsid w:val="0001273B"/>
    <w:rsid w:val="00017717"/>
    <w:rsid w:val="00024763"/>
    <w:rsid w:val="00025AB0"/>
    <w:rsid w:val="00033CC9"/>
    <w:rsid w:val="00040747"/>
    <w:rsid w:val="00040DF7"/>
    <w:rsid w:val="0005180F"/>
    <w:rsid w:val="00053100"/>
    <w:rsid w:val="00056A4F"/>
    <w:rsid w:val="000609F4"/>
    <w:rsid w:val="0007597E"/>
    <w:rsid w:val="000A514F"/>
    <w:rsid w:val="000B49C1"/>
    <w:rsid w:val="000C03EE"/>
    <w:rsid w:val="000C60DF"/>
    <w:rsid w:val="000E4C4D"/>
    <w:rsid w:val="000E5808"/>
    <w:rsid w:val="000E7215"/>
    <w:rsid w:val="000F5F75"/>
    <w:rsid w:val="000F6E66"/>
    <w:rsid w:val="00104C0B"/>
    <w:rsid w:val="00134F8F"/>
    <w:rsid w:val="00142B81"/>
    <w:rsid w:val="00154810"/>
    <w:rsid w:val="00160355"/>
    <w:rsid w:val="00163216"/>
    <w:rsid w:val="00172D65"/>
    <w:rsid w:val="00175F6C"/>
    <w:rsid w:val="00176025"/>
    <w:rsid w:val="001905DC"/>
    <w:rsid w:val="00191BB9"/>
    <w:rsid w:val="0019202F"/>
    <w:rsid w:val="001941D6"/>
    <w:rsid w:val="001B2550"/>
    <w:rsid w:val="001B38CB"/>
    <w:rsid w:val="001C292A"/>
    <w:rsid w:val="001C4603"/>
    <w:rsid w:val="001D6D76"/>
    <w:rsid w:val="001E25B4"/>
    <w:rsid w:val="001E50C4"/>
    <w:rsid w:val="001E7275"/>
    <w:rsid w:val="00221441"/>
    <w:rsid w:val="00236AEC"/>
    <w:rsid w:val="002424AF"/>
    <w:rsid w:val="002454B2"/>
    <w:rsid w:val="00246667"/>
    <w:rsid w:val="0025022B"/>
    <w:rsid w:val="002570BC"/>
    <w:rsid w:val="0026061D"/>
    <w:rsid w:val="0026775C"/>
    <w:rsid w:val="0028211C"/>
    <w:rsid w:val="00286834"/>
    <w:rsid w:val="002A0F39"/>
    <w:rsid w:val="002A254E"/>
    <w:rsid w:val="002B307A"/>
    <w:rsid w:val="002C4389"/>
    <w:rsid w:val="002C4748"/>
    <w:rsid w:val="002C5BF6"/>
    <w:rsid w:val="002D4AFE"/>
    <w:rsid w:val="002E057D"/>
    <w:rsid w:val="002E488C"/>
    <w:rsid w:val="002F6442"/>
    <w:rsid w:val="003006B8"/>
    <w:rsid w:val="00301744"/>
    <w:rsid w:val="00311B86"/>
    <w:rsid w:val="003220C0"/>
    <w:rsid w:val="00347970"/>
    <w:rsid w:val="0035167A"/>
    <w:rsid w:val="00355806"/>
    <w:rsid w:val="0035777E"/>
    <w:rsid w:val="00366536"/>
    <w:rsid w:val="00366A6F"/>
    <w:rsid w:val="00367C63"/>
    <w:rsid w:val="00377141"/>
    <w:rsid w:val="003772E4"/>
    <w:rsid w:val="00380EF4"/>
    <w:rsid w:val="003816D7"/>
    <w:rsid w:val="00385E5C"/>
    <w:rsid w:val="00393591"/>
    <w:rsid w:val="003A7167"/>
    <w:rsid w:val="003B28F9"/>
    <w:rsid w:val="003B55D6"/>
    <w:rsid w:val="003C0513"/>
    <w:rsid w:val="003D1778"/>
    <w:rsid w:val="004008C3"/>
    <w:rsid w:val="00402906"/>
    <w:rsid w:val="00402C00"/>
    <w:rsid w:val="00404201"/>
    <w:rsid w:val="00411D0F"/>
    <w:rsid w:val="00417259"/>
    <w:rsid w:val="00425373"/>
    <w:rsid w:val="00431F4E"/>
    <w:rsid w:val="004360AE"/>
    <w:rsid w:val="004522AB"/>
    <w:rsid w:val="0045778E"/>
    <w:rsid w:val="004648D1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F1B"/>
    <w:rsid w:val="005017B7"/>
    <w:rsid w:val="005059AA"/>
    <w:rsid w:val="00524B03"/>
    <w:rsid w:val="00525523"/>
    <w:rsid w:val="00526973"/>
    <w:rsid w:val="00547B61"/>
    <w:rsid w:val="00556863"/>
    <w:rsid w:val="005618AE"/>
    <w:rsid w:val="00564E7F"/>
    <w:rsid w:val="0056607F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46F4"/>
    <w:rsid w:val="006823B0"/>
    <w:rsid w:val="006A3DA0"/>
    <w:rsid w:val="006A48D5"/>
    <w:rsid w:val="006A7E64"/>
    <w:rsid w:val="006B44FE"/>
    <w:rsid w:val="006B4F81"/>
    <w:rsid w:val="006C07D7"/>
    <w:rsid w:val="006C6F91"/>
    <w:rsid w:val="006C730A"/>
    <w:rsid w:val="006D0015"/>
    <w:rsid w:val="006D0540"/>
    <w:rsid w:val="006D1012"/>
    <w:rsid w:val="006D164D"/>
    <w:rsid w:val="006D16F4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23FB6"/>
    <w:rsid w:val="0073580E"/>
    <w:rsid w:val="00735F30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61B6"/>
    <w:rsid w:val="00791757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63CF"/>
    <w:rsid w:val="008144D7"/>
    <w:rsid w:val="00817FAB"/>
    <w:rsid w:val="008241EA"/>
    <w:rsid w:val="00825FD9"/>
    <w:rsid w:val="00826068"/>
    <w:rsid w:val="0083018B"/>
    <w:rsid w:val="00841145"/>
    <w:rsid w:val="00860D9D"/>
    <w:rsid w:val="00870A03"/>
    <w:rsid w:val="00873EB6"/>
    <w:rsid w:val="0087502D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73D7"/>
    <w:rsid w:val="008F4B72"/>
    <w:rsid w:val="00915EC6"/>
    <w:rsid w:val="00936C1E"/>
    <w:rsid w:val="00945DB9"/>
    <w:rsid w:val="00952F15"/>
    <w:rsid w:val="00971549"/>
    <w:rsid w:val="009741E3"/>
    <w:rsid w:val="00981722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14496"/>
    <w:rsid w:val="00A1628F"/>
    <w:rsid w:val="00A17BDE"/>
    <w:rsid w:val="00A346AB"/>
    <w:rsid w:val="00A529CF"/>
    <w:rsid w:val="00A62664"/>
    <w:rsid w:val="00A66DBA"/>
    <w:rsid w:val="00A7286B"/>
    <w:rsid w:val="00A763AD"/>
    <w:rsid w:val="00A81A91"/>
    <w:rsid w:val="00A842BA"/>
    <w:rsid w:val="00A854D6"/>
    <w:rsid w:val="00A85C08"/>
    <w:rsid w:val="00A965C6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B06833"/>
    <w:rsid w:val="00B1571E"/>
    <w:rsid w:val="00B50F74"/>
    <w:rsid w:val="00B52452"/>
    <w:rsid w:val="00B5683F"/>
    <w:rsid w:val="00B570B3"/>
    <w:rsid w:val="00B607AF"/>
    <w:rsid w:val="00B63EB3"/>
    <w:rsid w:val="00B66835"/>
    <w:rsid w:val="00B72C78"/>
    <w:rsid w:val="00B93732"/>
    <w:rsid w:val="00B9425F"/>
    <w:rsid w:val="00BA0ED3"/>
    <w:rsid w:val="00BA6412"/>
    <w:rsid w:val="00BA6504"/>
    <w:rsid w:val="00BB7BFB"/>
    <w:rsid w:val="00BC7902"/>
    <w:rsid w:val="00BE71F3"/>
    <w:rsid w:val="00C158C3"/>
    <w:rsid w:val="00C164F3"/>
    <w:rsid w:val="00C17433"/>
    <w:rsid w:val="00C20181"/>
    <w:rsid w:val="00C2774E"/>
    <w:rsid w:val="00C57026"/>
    <w:rsid w:val="00C60654"/>
    <w:rsid w:val="00C63783"/>
    <w:rsid w:val="00C6387E"/>
    <w:rsid w:val="00C63F1A"/>
    <w:rsid w:val="00C66856"/>
    <w:rsid w:val="00C75BC1"/>
    <w:rsid w:val="00C770D8"/>
    <w:rsid w:val="00C87BF6"/>
    <w:rsid w:val="00C97A4B"/>
    <w:rsid w:val="00CA67BE"/>
    <w:rsid w:val="00CB0865"/>
    <w:rsid w:val="00CB0CD1"/>
    <w:rsid w:val="00CC2B5D"/>
    <w:rsid w:val="00D03574"/>
    <w:rsid w:val="00D33377"/>
    <w:rsid w:val="00D53A47"/>
    <w:rsid w:val="00D54BAA"/>
    <w:rsid w:val="00D75758"/>
    <w:rsid w:val="00D923AE"/>
    <w:rsid w:val="00D945EE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812"/>
    <w:rsid w:val="00E20915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94C41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10C0E"/>
    <w:rsid w:val="00F17EA6"/>
    <w:rsid w:val="00F2532F"/>
    <w:rsid w:val="00F273B7"/>
    <w:rsid w:val="00F274C1"/>
    <w:rsid w:val="00F344DB"/>
    <w:rsid w:val="00F35789"/>
    <w:rsid w:val="00F74CFB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5" type="connector" idref="#Прямая со стрелкой 4"/>
        <o:r id="V:Rule26" type="connector" idref="#Прямая со стрелкой 10"/>
        <o:r id="V:Rule27" type="connector" idref="#Прямая со стрелкой 9"/>
        <o:r id="V:Rule28" type="connector" idref="#Прямая со стрелкой 2"/>
        <o:r id="V:Rule29" type="connector" idref="#Прямая со стрелкой 7"/>
        <o:r id="V:Rule30" type="connector" idref="#Прямая со стрелкой 12"/>
        <o:r id="V:Rule31" type="connector" idref="#Прямая со стрелкой 6"/>
        <o:r id="V:Rule32" type="connector" idref="#Прямая со стрелкой 14"/>
        <o:r id="V:Rule33" type="connector" idref="#Прямая со стрелкой 13"/>
        <o:r id="V:Rule34" type="connector" idref="#Прямая со стрелкой 11"/>
        <o:r id="V:Rule35" type="connector" idref="#Прямая со стрелкой 8"/>
        <o:r id="V:Rule3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 Spacing"/>
    <w:uiPriority w:val="1"/>
    <w:qFormat/>
    <w:rsid w:val="00000DA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consultantplus://offline/ref=A37A1BEB0A7DBE28DAAEF855DE8CBBF697E6C0C4213C6ACB2A14F2EE459F48690D310A36DFC68E1EqDm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C52D873195D1C21D6C120B6A49D35471040238F97A3725AD7F3A843224524E4F5750EED1F622L3u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CB1K83C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BA3A833767AD1434F0C52DE2ABEB80F568C5722D49381984B705921U2AFF" TargetMode="External"/><Relationship Id="rId24" Type="http://schemas.openxmlformats.org/officeDocument/2006/relationships/hyperlink" Target="consultantplus://offline/ref=8188C12DC598D1A95CF4C4C51F21BB449C84A87B0DDDB862A2860BFDEDF7A21B91AAC52410qBB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E9D7DBA3852382E6B7FA83BF18DF72FD6963E1F8A7C296E152B63705o6g5J" TargetMode="External"/><Relationship Id="rId23" Type="http://schemas.openxmlformats.org/officeDocument/2006/relationships/hyperlink" Target="consultantplus://offline/ref=A37A1BEB0A7DBE28DAAEF855DE8CBBF697E6C0C4213C6ACB2A14F2EE459F48690D310A36DFC68E1EqDm9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7B92D7EB644C0EF50069E9C003D09319B8B3CDF3188B82B698606B546p16BE" TargetMode="External"/><Relationship Id="rId19" Type="http://schemas.openxmlformats.org/officeDocument/2006/relationships/hyperlink" Target="consultantplus://offline/ref=1DA3E51AE0180EC95543DCE6FD1FD774113BB293C9985922C80CA8C859F8AE379522880FB588FDEBK737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munar2012.ru" TargetMode="External"/><Relationship Id="rId14" Type="http://schemas.openxmlformats.org/officeDocument/2006/relationships/hyperlink" Target="consultantplus://offline/ref=F11CA0BEDC9F8681F975D643EF54E79A8AFE031A971C62AC654EFA13827D15FBB66816CF58F2F451C5CA2Bs2j7E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hyperlink" Target="file:///C:\Users\adm\AppData\Local\Temp\Rar$DIa0.725\&#1040;&#1056;_9_&#1042;&#1099;&#1076;&#1072;&#1095;&#1072;%20&#1088;&#1072;&#1079;&#1088;&#1077;&#1096;&#1077;&#1085;&#1080;&#1103;%20&#1085;&#1072;%20&#1091;&#1089;&#1083;&#1086;&#1074;&#1085;&#1086;%20&#1088;&#1072;&#1079;&#1088;&#1077;&#1096;&#1077;&#1085;&#1085;&#1099;&#1081;%20&#1074;&#1080;&#1076;%20&#1080;&#1089;&#1087;&#1086;&#1083;&#1100;&#1079;&#1086;&#1074;&#1072;&#1085;&#1080;&#1103;%20.docx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FFF9-3CEE-4793-878E-D3292AA5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9901</Words>
  <Characters>56439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2</cp:revision>
  <cp:lastPrinted>2016-11-22T08:53:00Z</cp:lastPrinted>
  <dcterms:created xsi:type="dcterms:W3CDTF">2018-09-04T11:05:00Z</dcterms:created>
  <dcterms:modified xsi:type="dcterms:W3CDTF">2018-09-04T11:05:00Z</dcterms:modified>
</cp:coreProperties>
</file>