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4A0"/>
      </w:tblPr>
      <w:tblGrid>
        <w:gridCol w:w="4504"/>
        <w:gridCol w:w="850"/>
        <w:gridCol w:w="4677"/>
      </w:tblGrid>
      <w:tr w:rsidR="007F3233" w:rsidTr="00886BEE">
        <w:tc>
          <w:tcPr>
            <w:tcW w:w="4504" w:type="dxa"/>
          </w:tcPr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8"/>
            <w:bookmarkEnd w:id="0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августа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91</w:t>
            </w:r>
            <w:r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7F3233" w:rsidRPr="002005F1" w:rsidRDefault="007F3233" w:rsidP="007F3233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7F3233" w:rsidRDefault="007F3233" w:rsidP="007F3233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2"/>
          </w:tcPr>
          <w:p w:rsidR="007F3233" w:rsidRDefault="007F3233" w:rsidP="007F3233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3233" w:rsidTr="00886BEE">
        <w:trPr>
          <w:trHeight w:val="1024"/>
        </w:trPr>
        <w:tc>
          <w:tcPr>
            <w:tcW w:w="5354" w:type="dxa"/>
            <w:gridSpan w:val="2"/>
            <w:hideMark/>
          </w:tcPr>
          <w:p w:rsidR="007F3233" w:rsidRPr="007F3233" w:rsidRDefault="007F3233" w:rsidP="007F3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Об утверждении административного регламента предоставления муниципальной услуги 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«Выдача разрешения на отклонение от предельных параметров разрешенного строительства, </w:t>
            </w:r>
          </w:p>
          <w:p w:rsidR="007F3233" w:rsidRPr="007F3233" w:rsidRDefault="007F3233" w:rsidP="007F3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реконструкции объектов капитального строительства»</w:t>
            </w:r>
          </w:p>
          <w:p w:rsidR="007F3233" w:rsidRPr="002005F1" w:rsidRDefault="007F3233" w:rsidP="007F3233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7F3233" w:rsidRDefault="007F3233" w:rsidP="007F3233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F3233" w:rsidRDefault="007F3233" w:rsidP="007F323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7F3233" w:rsidRPr="0053264D" w:rsidRDefault="007F3233" w:rsidP="007F323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4D">
        <w:rPr>
          <w:rFonts w:ascii="Times New Roman" w:hAnsi="Times New Roman" w:cs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 w:rsidRPr="0053264D"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7F3233" w:rsidRPr="007F3233" w:rsidRDefault="007F3233" w:rsidP="007F323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233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233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7F3233" w:rsidRDefault="007F3233" w:rsidP="007F323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данное постановление на официальном сайте </w:t>
      </w:r>
      <w:proofErr w:type="gramStart"/>
      <w:r w:rsidRPr="007F323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F3233" w:rsidRPr="007F3233" w:rsidRDefault="007F3233" w:rsidP="007F323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7F323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F3233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7F3233"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 w:rsidRPr="007F323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7F323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7F3233" w:rsidRPr="007F3233" w:rsidRDefault="007F3233" w:rsidP="007F323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</w:t>
      </w:r>
      <w:r w:rsidRPr="007F3233">
        <w:rPr>
          <w:rFonts w:ascii="Times New Roman" w:hAnsi="Times New Roman" w:cs="Times New Roman"/>
          <w:sz w:val="28"/>
          <w:szCs w:val="28"/>
        </w:rPr>
        <w:t>собой.</w:t>
      </w:r>
    </w:p>
    <w:p w:rsidR="007F3233" w:rsidRDefault="007F3233" w:rsidP="007F323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F3233" w:rsidRDefault="007F3233" w:rsidP="007F323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8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kommunar</w:t>
        </w:r>
        <w:proofErr w:type="spellEnd"/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2012.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3233" w:rsidRDefault="007F3233" w:rsidP="007F323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F3233" w:rsidRDefault="007F3233" w:rsidP="007F323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7F3233" w:rsidRDefault="007F3233" w:rsidP="007F323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7F3233" w:rsidRDefault="007F3233" w:rsidP="007F323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886BEE" w:rsidRDefault="00886BEE" w:rsidP="007F3233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886BEE" w:rsidRDefault="007F3233" w:rsidP="007F323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  <w:r w:rsidR="00886BE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3233" w:rsidRDefault="007F3233" w:rsidP="007F323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1B7F08" w:rsidRDefault="001B7F08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</w:t>
      </w:r>
    </w:p>
    <w:p w:rsidR="00DB208D" w:rsidRPr="006C018E" w:rsidRDefault="005A4539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DB208D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</w:t>
      </w:r>
    </w:p>
    <w:p w:rsidR="00DB208D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 предельных параметров разрешенного строительства, </w:t>
      </w:r>
    </w:p>
    <w:p w:rsidR="005A4539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</w:t>
      </w:r>
      <w:r w:rsidR="008C1B80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6C018E">
        <w:rPr>
          <w:rFonts w:ascii="Times New Roman" w:hAnsi="Times New Roman" w:cs="Times New Roman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C32" w:rsidRPr="006C018E" w:rsidRDefault="005A4539" w:rsidP="00437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</w:t>
      </w:r>
      <w:r w:rsidR="00437C32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="00437C32" w:rsidRPr="006C018E">
        <w:rPr>
          <w:rFonts w:ascii="Times New Roman" w:hAnsi="Times New Roman" w:cs="Times New Roman"/>
          <w:sz w:val="24"/>
          <w:szCs w:val="24"/>
        </w:rPr>
        <w:t>п</w:t>
      </w:r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области________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 xml:space="preserve">461430 Оренбургская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Коммунар, улица Луначарского, дом 55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kk</w:t>
      </w:r>
      <w:proofErr w:type="spellEnd"/>
      <w:r w:rsidRPr="006E6C7E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Pr="006E6C7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Pr="006E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Pr="006E6C7E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>
        <w:rPr>
          <w:rFonts w:ascii="Times New Roman" w:hAnsi="Times New Roman" w:cs="Times New Roman"/>
          <w:sz w:val="24"/>
          <w:szCs w:val="24"/>
        </w:rPr>
        <w:t>пятница:  с 08-30  до 17-00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>
        <w:rPr>
          <w:rFonts w:ascii="Times New Roman" w:hAnsi="Times New Roman" w:cs="Times New Roman"/>
          <w:sz w:val="24"/>
          <w:szCs w:val="24"/>
        </w:rPr>
        <w:t>с 12-30 до 14-00</w:t>
      </w:r>
    </w:p>
    <w:p w:rsidR="007F3233" w:rsidRPr="007C6D27" w:rsidRDefault="007F3233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7F323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F3233"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F3233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7F3233" w:rsidRPr="006E6C7E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7F32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F3233" w:rsidRPr="007C6D27">
        <w:rPr>
          <w:rFonts w:ascii="Times New Roman" w:hAnsi="Times New Roman" w:cs="Times New Roman"/>
          <w:sz w:val="24"/>
          <w:szCs w:val="24"/>
        </w:rPr>
        <w:t>.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6C018E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(далее – МФЦ), участвующих в предоставлении муниципальной услуги (при наличии Соглашений о взаимодействии заключ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8063CF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6C018E">
        <w:rPr>
          <w:rFonts w:ascii="Times New Roman" w:hAnsi="Times New Roman" w:cs="Times New Roman"/>
          <w:sz w:val="24"/>
          <w:szCs w:val="24"/>
        </w:rPr>
        <w:t xml:space="preserve">оуправления </w:t>
      </w:r>
      <w:r w:rsidR="007F323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7F3233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7F3233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7F3233">
        <w:rPr>
          <w:rFonts w:ascii="Times New Roman" w:hAnsi="Times New Roman" w:cs="Times New Roman"/>
          <w:sz w:val="24"/>
          <w:szCs w:val="24"/>
        </w:rPr>
        <w:t>Сакмаского</w:t>
      </w:r>
      <w:proofErr w:type="spellEnd"/>
      <w:r w:rsidR="007F3233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="00AB7AD9" w:rsidRPr="006C01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4539" w:rsidRPr="006C018E" w:rsidRDefault="005A4539" w:rsidP="007F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6C018E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органа местного самоуправления </w:t>
      </w:r>
      <w:r w:rsidR="007F3233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7F3233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7F3233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7F3233">
        <w:rPr>
          <w:rFonts w:ascii="Times New Roman" w:hAnsi="Times New Roman" w:cs="Times New Roman"/>
          <w:sz w:val="24"/>
          <w:szCs w:val="24"/>
        </w:rPr>
        <w:t>Сакмаского</w:t>
      </w:r>
      <w:proofErr w:type="spellEnd"/>
      <w:r w:rsidR="007F3233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6C018E" w:rsidRDefault="005A4539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t>9. Информация о муниципальной услуге, в том числе о ходе ее предоставления, может быть получена по телефону, а также</w:t>
      </w:r>
      <w:r w:rsidRPr="006C018E">
        <w:rPr>
          <w:rFonts w:eastAsiaTheme="minorHAnsi"/>
          <w:lang w:eastAsia="en-US"/>
        </w:rPr>
        <w:t xml:space="preserve"> в электронной форме</w:t>
      </w:r>
      <w:r w:rsidRPr="006C018E">
        <w:t xml:space="preserve"> </w:t>
      </w:r>
      <w:r w:rsidR="006C26D2" w:rsidRPr="006C018E">
        <w:rPr>
          <w:lang w:eastAsia="en-US"/>
        </w:rPr>
        <w:t xml:space="preserve">через «Единый интернет-портал государственных и муниципальных услуг» </w:t>
      </w:r>
      <w:proofErr w:type="spellStart"/>
      <w:r w:rsidR="006C26D2" w:rsidRPr="006C018E">
        <w:rPr>
          <w:lang w:eastAsia="en-US"/>
        </w:rPr>
        <w:t>www.gosuslugi.ru</w:t>
      </w:r>
      <w:proofErr w:type="spellEnd"/>
      <w:r w:rsidR="006C26D2" w:rsidRPr="006C018E">
        <w:rPr>
          <w:lang w:eastAsia="en-US"/>
        </w:rPr>
        <w:t xml:space="preserve"> (далее </w:t>
      </w:r>
      <w:r w:rsidR="006C26D2" w:rsidRPr="006C018E">
        <w:t xml:space="preserve">– </w:t>
      </w:r>
      <w:r w:rsidR="006C26D2" w:rsidRPr="006C018E">
        <w:rPr>
          <w:lang w:eastAsia="en-US"/>
        </w:rPr>
        <w:t>Портал).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</w:pPr>
      <w:r w:rsidRPr="006C018E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5A4539" w:rsidP="00335905">
      <w:pPr>
        <w:autoSpaceDE w:val="0"/>
        <w:autoSpaceDN w:val="0"/>
        <w:adjustRightInd w:val="0"/>
        <w:ind w:firstLine="567"/>
        <w:jc w:val="both"/>
      </w:pPr>
      <w:r w:rsidRPr="006C018E">
        <w:t>10. Наименование муниципальной услуги: «</w:t>
      </w:r>
      <w:r w:rsidR="00335905" w:rsidRPr="006C018E"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ind w:firstLine="567"/>
        <w:jc w:val="both"/>
      </w:pPr>
      <w:r w:rsidRPr="006C018E">
        <w:t>12. Муниципальная услуга «</w:t>
      </w:r>
      <w:r w:rsidR="00193292" w:rsidRPr="006C018E">
        <w:t>Выдача</w:t>
      </w:r>
      <w:r w:rsidR="00791838" w:rsidRPr="006C018E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t>» предоставляется органом местного самоуправления</w:t>
      </w:r>
      <w:r w:rsidR="00193292" w:rsidRPr="006C018E">
        <w:t xml:space="preserve"> </w:t>
      </w:r>
      <w:r w:rsidR="007F3233">
        <w:t xml:space="preserve">администрацией муниципального образования </w:t>
      </w:r>
      <w:proofErr w:type="spellStart"/>
      <w:r w:rsidR="007F3233">
        <w:t>Краснокоммунарский</w:t>
      </w:r>
      <w:proofErr w:type="spellEnd"/>
      <w:r w:rsidR="007F3233">
        <w:t xml:space="preserve"> поссовет </w:t>
      </w:r>
      <w:proofErr w:type="spellStart"/>
      <w:r w:rsidR="007F3233">
        <w:t>Сакмаского</w:t>
      </w:r>
      <w:proofErr w:type="spellEnd"/>
      <w:r w:rsidR="007F3233">
        <w:t xml:space="preserve"> района Оренбургской области</w:t>
      </w:r>
      <w:r w:rsidR="007F3233" w:rsidRPr="006C018E">
        <w:t xml:space="preserve"> </w:t>
      </w:r>
      <w:r w:rsidRPr="006C018E">
        <w:t>(далее – орган местного самоуправления).</w:t>
      </w:r>
    </w:p>
    <w:p w:rsidR="005A4539" w:rsidRPr="006C018E" w:rsidRDefault="005A4539" w:rsidP="00FA148B">
      <w:pPr>
        <w:ind w:firstLine="567"/>
        <w:jc w:val="both"/>
      </w:pPr>
      <w:r w:rsidRPr="006C018E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6C018E">
        <w:rPr>
          <w:rFonts w:eastAsiaTheme="minorHAnsi"/>
          <w:lang w:eastAsia="en-US"/>
        </w:rPr>
        <w:t>Росреестра</w:t>
      </w:r>
      <w:proofErr w:type="spellEnd"/>
      <w:r w:rsidRPr="006C018E">
        <w:rPr>
          <w:rFonts w:eastAsiaTheme="minorHAnsi"/>
          <w:lang w:eastAsia="en-US"/>
        </w:rPr>
        <w:t xml:space="preserve"> по Оренбургской области);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органы местного самоуправления соответствующего муниципального района/сельского поселения;</w:t>
      </w:r>
    </w:p>
    <w:p w:rsidR="005A4539" w:rsidRPr="00592229" w:rsidRDefault="005A4539" w:rsidP="0059222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AB7AD9" w:rsidRPr="006C018E">
        <w:rPr>
          <w:rFonts w:eastAsiaTheme="minorHAnsi"/>
          <w:lang w:eastAsia="en-US"/>
        </w:rPr>
        <w:t xml:space="preserve"> 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5A4539" w:rsidP="00FA148B">
      <w:pPr>
        <w:ind w:firstLine="567"/>
        <w:jc w:val="both"/>
      </w:pPr>
      <w:r w:rsidRPr="006C018E">
        <w:t>14. При</w:t>
      </w:r>
      <w:r w:rsidR="000E4C4D" w:rsidRPr="006C018E">
        <w:t>ё</w:t>
      </w:r>
      <w:r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 xml:space="preserve">ными служащими) </w:t>
      </w:r>
      <w:r w:rsidR="00592229">
        <w:t xml:space="preserve">администрации муниципального образования </w:t>
      </w:r>
      <w:proofErr w:type="spellStart"/>
      <w:r w:rsidR="00592229">
        <w:t>Краснокоммунарский</w:t>
      </w:r>
      <w:proofErr w:type="spellEnd"/>
      <w:r w:rsidR="00592229">
        <w:t xml:space="preserve"> поссовет </w:t>
      </w:r>
      <w:proofErr w:type="spellStart"/>
      <w:r w:rsidR="00592229">
        <w:t>Сакмаского</w:t>
      </w:r>
      <w:proofErr w:type="spellEnd"/>
      <w:r w:rsidR="00592229">
        <w:t xml:space="preserve"> района Оренбургской области</w:t>
      </w:r>
      <w:r w:rsidR="00592229" w:rsidRPr="006C018E">
        <w:t xml:space="preserve"> </w:t>
      </w:r>
      <w:r w:rsidR="00592229">
        <w:t>-</w:t>
      </w:r>
      <w:r w:rsidRPr="006C018E">
        <w:t xml:space="preserve"> органа местного самоуправления.</w:t>
      </w:r>
    </w:p>
    <w:p w:rsidR="005A4539" w:rsidRPr="006C018E" w:rsidRDefault="005A4539" w:rsidP="00FA148B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autoSpaceDE w:val="0"/>
        <w:autoSpaceDN w:val="0"/>
        <w:adjustRightInd w:val="0"/>
        <w:ind w:firstLine="567"/>
        <w:jc w:val="both"/>
      </w:pPr>
      <w:r w:rsidRPr="006C018E">
        <w:t>16. Результатом предоставления муниципальной услуги является:</w:t>
      </w:r>
    </w:p>
    <w:p w:rsidR="005A4539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</w:t>
      </w:r>
      <w:r w:rsidR="006656EE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t>1) В случае подачи заявления в электронной форме через Портал: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891100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0 дней со дня получения заявления о предоставлении муниципальной услуги.</w:t>
      </w: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C3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6C018E" w:rsidRDefault="006656EE" w:rsidP="006656EE">
      <w:pPr>
        <w:ind w:firstLine="567"/>
        <w:jc w:val="both"/>
      </w:pPr>
      <w:r w:rsidRPr="006C018E">
        <w:lastRenderedPageBreak/>
        <w:t>1) Конституцией Российской Федерации («Российская газета», 25.12.1993, № 237);</w:t>
      </w:r>
    </w:p>
    <w:p w:rsidR="006656EE" w:rsidRPr="006C018E" w:rsidRDefault="006656EE" w:rsidP="006656EE">
      <w:pPr>
        <w:ind w:firstLine="567"/>
        <w:jc w:val="both"/>
      </w:pPr>
      <w:r w:rsidRPr="006C018E">
        <w:t>2) Градостроительным кодексом Российской Федерации от 29.12.2004 № 190-ФЗ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4) </w:t>
      </w:r>
      <w:r w:rsidRPr="006C018E">
        <w:rPr>
          <w:bCs/>
        </w:rPr>
        <w:t xml:space="preserve">Земельным </w:t>
      </w:r>
      <w:hyperlink r:id="rId9" w:history="1">
        <w:r w:rsidRPr="006C018E">
          <w:rPr>
            <w:bCs/>
            <w:color w:val="0000FF"/>
          </w:rPr>
          <w:t>кодексом</w:t>
        </w:r>
      </w:hyperlink>
      <w:r w:rsidRPr="006C018E">
        <w:rPr>
          <w:bCs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6C018E" w:rsidRDefault="006656EE" w:rsidP="006656EE">
      <w:pPr>
        <w:ind w:firstLine="567"/>
        <w:jc w:val="both"/>
      </w:pPr>
      <w:r w:rsidRPr="006C018E"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6C018E" w:rsidRDefault="006656EE" w:rsidP="006656EE">
      <w:pPr>
        <w:ind w:firstLine="567"/>
        <w:jc w:val="both"/>
      </w:pPr>
      <w:r w:rsidRPr="006C018E"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6C018E" w:rsidRDefault="006656EE" w:rsidP="006656EE">
      <w:pPr>
        <w:ind w:firstLine="567"/>
        <w:jc w:val="both"/>
      </w:pPr>
      <w:r w:rsidRPr="006C018E">
        <w:t>7) Федеральным законом от 27.07.2006 № 152-ФЗ «О персональных данных» («Российская газета», 29.07.2006, № 165);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8) Федеральным </w:t>
      </w:r>
      <w:hyperlink r:id="rId10" w:history="1">
        <w:r w:rsidRPr="006C018E">
          <w:rPr>
            <w:color w:val="0000FF"/>
          </w:rPr>
          <w:t>законом</w:t>
        </w:r>
      </w:hyperlink>
      <w:r w:rsidRPr="006C018E"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6C018E" w:rsidRDefault="006656EE" w:rsidP="006656EE">
      <w:pPr>
        <w:ind w:firstLine="567"/>
        <w:jc w:val="both"/>
      </w:pPr>
      <w:r w:rsidRPr="006C018E">
        <w:t>9) Законом Оренбургской области от 16.03.2007 № 1037/233-</w:t>
      </w:r>
      <w:r w:rsidRPr="006C018E">
        <w:rPr>
          <w:lang w:val="en-US"/>
        </w:rPr>
        <w:t>IV</w:t>
      </w:r>
      <w:r w:rsidRPr="006C018E">
        <w:t>-ОЗ «О градостроительной деятельности на территории Оренбургской области» (</w:t>
      </w:r>
      <w:r w:rsidRPr="006C018E">
        <w:rPr>
          <w:rFonts w:eastAsia="Calibri"/>
          <w:lang w:eastAsia="en-US"/>
        </w:rPr>
        <w:t>«Южный Урал», № 60, (</w:t>
      </w:r>
      <w:proofErr w:type="spellStart"/>
      <w:r w:rsidRPr="006C018E">
        <w:rPr>
          <w:rFonts w:eastAsia="Calibri"/>
          <w:lang w:eastAsia="en-US"/>
        </w:rPr>
        <w:t>спецвыпуск</w:t>
      </w:r>
      <w:proofErr w:type="spellEnd"/>
      <w:r w:rsidRPr="006C018E">
        <w:rPr>
          <w:rFonts w:eastAsia="Calibri"/>
          <w:lang w:eastAsia="en-US"/>
        </w:rPr>
        <w:t xml:space="preserve"> № 35) 24.03.2007)</w:t>
      </w:r>
      <w:r w:rsidRPr="006C018E">
        <w:t>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10) Постановлением Правительства Оренбургской области </w:t>
      </w:r>
      <w:r w:rsidRPr="006C018E">
        <w:rPr>
          <w:rFonts w:eastAsia="Calibri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6C018E" w:rsidRDefault="006C26D2" w:rsidP="006C26D2">
      <w:pPr>
        <w:ind w:firstLine="567"/>
        <w:jc w:val="both"/>
      </w:pPr>
      <w:r w:rsidRPr="006C018E"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6C018E">
        <w:t>»(</w:t>
      </w:r>
      <w:proofErr w:type="gramEnd"/>
      <w:r w:rsidRPr="006C018E">
        <w:t xml:space="preserve">Официальный интернет-портал правовой информации </w:t>
      </w:r>
      <w:hyperlink r:id="rId11" w:history="1">
        <w:r w:rsidRPr="006C018E">
          <w:rPr>
            <w:rStyle w:val="aa"/>
            <w:lang w:val="en-US"/>
          </w:rPr>
          <w:t>http</w:t>
        </w:r>
        <w:r w:rsidRPr="006C018E">
          <w:rPr>
            <w:rStyle w:val="aa"/>
          </w:rPr>
          <w:t>://</w:t>
        </w:r>
        <w:r w:rsidRPr="006C018E">
          <w:rPr>
            <w:rStyle w:val="aa"/>
            <w:lang w:val="en-US"/>
          </w:rPr>
          <w:t>www</w:t>
        </w:r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pravo</w:t>
        </w:r>
        <w:proofErr w:type="spellEnd"/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gov</w:t>
        </w:r>
        <w:proofErr w:type="spellEnd"/>
        <w:r w:rsidRPr="006C018E">
          <w:rPr>
            <w:rStyle w:val="aa"/>
          </w:rPr>
          <w:t>.</w:t>
        </w:r>
        <w:proofErr w:type="spellStart"/>
        <w:r w:rsidRPr="006C018E">
          <w:rPr>
            <w:rStyle w:val="aa"/>
            <w:lang w:val="en-US"/>
          </w:rPr>
          <w:t>ru</w:t>
        </w:r>
        <w:proofErr w:type="spellEnd"/>
      </w:hyperlink>
      <w:r w:rsidRPr="006C018E">
        <w:t>, 29.01.2016);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</w:pPr>
      <w:r w:rsidRPr="006C018E">
        <w:rPr>
          <w:rFonts w:eastAsia="Calibri"/>
          <w:lang w:eastAsia="en-US"/>
        </w:rPr>
        <w:t xml:space="preserve">13) </w:t>
      </w:r>
      <w:r w:rsidRPr="006C018E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</w:pPr>
      <w:r w:rsidRPr="006C018E">
        <w:t>1</w:t>
      </w:r>
      <w:r w:rsidR="006C26D2" w:rsidRPr="006C018E">
        <w:t>4</w:t>
      </w:r>
      <w:r w:rsidRPr="006C018E">
        <w:t>) Уставом муниципального образования;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5</w:t>
      </w:r>
      <w:r w:rsidRPr="006C018E">
        <w:t>) настоящим Административным регламентом;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6</w:t>
      </w:r>
      <w:r w:rsidRPr="006C018E">
        <w:t>) иными нормативными правовыми актами.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928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заявитель должен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19.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</w:t>
      </w:r>
      <w:proofErr w:type="gramStart"/>
      <w:r w:rsidR="00BD0336" w:rsidRPr="006C018E"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 w:rsidR="00BD0336" w:rsidRPr="006C01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0336" w:rsidRPr="006C018E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Pr="006C018E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3124" w:rsidRPr="006C018E" w:rsidRDefault="00E17D96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4)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2" w:history="1">
        <w:r w:rsidRPr="006C018E">
          <w:rPr>
            <w:rFonts w:eastAsiaTheme="minorHAnsi"/>
            <w:color w:val="0000FF"/>
            <w:lang w:eastAsia="en-US"/>
          </w:rPr>
          <w:t>пунктом 1 статьи 40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7E3124" w:rsidRPr="006C018E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C33BE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C33BE6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21.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FA148B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  <w:r w:rsidR="008D1CA2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1CF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заявления и документов, прилагаемых к заявлению, 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 целью получения муниципальной услуги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 заявитель предоставляет либо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подлинники документов, либо заверенные копии документов.</w:t>
      </w:r>
    </w:p>
    <w:p w:rsidR="005A4539" w:rsidRPr="006C018E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заверении копии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>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6C26D2">
      <w:pPr>
        <w:ind w:firstLine="567"/>
        <w:jc w:val="both"/>
      </w:pPr>
      <w:r w:rsidRPr="006C018E">
        <w:rPr>
          <w:rFonts w:ascii="Calibri" w:eastAsia="Calibri" w:hAnsi="Calibri" w:cs="Calibri"/>
          <w:color w:val="FF0000"/>
          <w:lang w:eastAsia="en-US"/>
        </w:rPr>
        <w:t xml:space="preserve">           </w:t>
      </w:r>
      <w:bookmarkStart w:id="1" w:name="P157"/>
      <w:bookmarkStart w:id="2" w:name="Par0"/>
      <w:bookmarkStart w:id="3" w:name="Par2"/>
      <w:bookmarkEnd w:id="1"/>
      <w:bookmarkEnd w:id="2"/>
      <w:bookmarkEnd w:id="3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  <w:rPr>
          <w:i/>
        </w:rPr>
      </w:pPr>
      <w:proofErr w:type="gramStart"/>
      <w:r w:rsidRPr="006C018E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6C018E"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471ABB">
      <w:pPr>
        <w:widowControl w:val="0"/>
        <w:autoSpaceDE w:val="0"/>
        <w:autoSpaceDN w:val="0"/>
        <w:ind w:firstLine="567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proofErr w:type="spellStart"/>
      <w:r w:rsidRPr="006C018E">
        <w:rPr>
          <w:lang w:val="en-US"/>
        </w:rPr>
        <w:t>docx</w:t>
      </w:r>
      <w:proofErr w:type="spellEnd"/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proofErr w:type="spellStart"/>
      <w:r w:rsidRPr="006C018E">
        <w:rPr>
          <w:lang w:val="en-US"/>
        </w:rPr>
        <w:t>pdf</w:t>
      </w:r>
      <w:proofErr w:type="spellEnd"/>
      <w:r w:rsidRPr="006C018E">
        <w:t xml:space="preserve">, </w:t>
      </w:r>
      <w:proofErr w:type="spellStart"/>
      <w:r w:rsidRPr="006C018E">
        <w:rPr>
          <w:lang w:val="en-US"/>
        </w:rPr>
        <w:t>odt</w:t>
      </w:r>
      <w:proofErr w:type="spellEnd"/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proofErr w:type="spellStart"/>
      <w:r w:rsidRPr="006C018E">
        <w:rPr>
          <w:lang w:val="en-US"/>
        </w:rPr>
        <w:t>png</w:t>
      </w:r>
      <w:proofErr w:type="spellEnd"/>
      <w:r w:rsidRPr="006C018E">
        <w:t>;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</w:pPr>
      <w:bookmarkStart w:id="4" w:name="sub_1007"/>
      <w:bookmarkStart w:id="5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6" w:name="sub_1071"/>
      <w:bookmarkEnd w:id="4"/>
      <w:r w:rsidRPr="006C018E"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C018E">
        <w:t>dpi</w:t>
      </w:r>
      <w:proofErr w:type="spellEnd"/>
      <w:r w:rsidRPr="006C018E">
        <w:t>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7" w:name="sub_1072"/>
      <w:bookmarkEnd w:id="6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8" w:name="sub_1073"/>
      <w:bookmarkEnd w:id="7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9" w:name="sub_1074"/>
      <w:bookmarkEnd w:id="8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 xml:space="preserve">3) Документы в электронном виде подписываются </w:t>
      </w:r>
      <w:proofErr w:type="gramStart"/>
      <w:r w:rsidRPr="006C018E">
        <w:t>квалифицированной</w:t>
      </w:r>
      <w:proofErr w:type="gramEnd"/>
      <w:r w:rsidRPr="006C018E">
        <w:t xml:space="preserve"> ЭП.</w:t>
      </w:r>
      <w:bookmarkStart w:id="10" w:name="sub_1010"/>
      <w:bookmarkEnd w:id="9"/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6C018E">
        <w:t>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27C1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27C1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24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26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29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6C018E">
        <w:rPr>
          <w:rFonts w:ascii="Times New Roman" w:hAnsi="Times New Roman" w:cs="Times New Roman"/>
          <w:sz w:val="24"/>
          <w:szCs w:val="24"/>
        </w:rPr>
        <w:t xml:space="preserve"> жизнедеятельности людей, нормативов градостроительного проектирования, соблюдения прав и интересов владельцев </w:t>
      </w:r>
      <w:proofErr w:type="spellStart"/>
      <w:r w:rsidR="00D655AD" w:rsidRPr="006C018E">
        <w:rPr>
          <w:rFonts w:ascii="Times New Roman" w:hAnsi="Times New Roman" w:cs="Times New Roman"/>
          <w:sz w:val="24"/>
          <w:szCs w:val="24"/>
        </w:rPr>
        <w:t>смежно</w:t>
      </w:r>
      <w:proofErr w:type="spellEnd"/>
      <w:r w:rsidR="00D655AD" w:rsidRPr="006C018E">
        <w:rPr>
          <w:rFonts w:ascii="Times New Roman" w:hAnsi="Times New Roman" w:cs="Times New Roman"/>
          <w:sz w:val="24"/>
          <w:szCs w:val="24"/>
        </w:rPr>
        <w:t xml:space="preserve">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hyperlink r:id="rId13" w:history="1">
        <w:r w:rsidR="00845A36" w:rsidRPr="006C018E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50237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886BE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32</w:t>
      </w:r>
      <w:r w:rsidR="005A4539" w:rsidRPr="006C018E">
        <w:rPr>
          <w:rFonts w:ascii="Times New Roman" w:hAnsi="Times New Roman" w:cs="Times New Roman"/>
          <w:sz w:val="24"/>
          <w:szCs w:val="24"/>
        </w:rPr>
        <w:t>.__</w:t>
      </w:r>
      <w:r w:rsidR="00886BE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592229" w:rsidRPr="00592229">
        <w:rPr>
          <w:rFonts w:ascii="Times New Roman" w:hAnsi="Times New Roman" w:cs="Times New Roman"/>
          <w:sz w:val="24"/>
          <w:szCs w:val="24"/>
          <w:u w:val="single"/>
        </w:rPr>
        <w:t>е имеется</w:t>
      </w:r>
      <w:r w:rsidR="005A4539" w:rsidRPr="006C018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86BEE">
        <w:rPr>
          <w:rFonts w:ascii="Times New Roman" w:hAnsi="Times New Roman" w:cs="Times New Roman"/>
          <w:sz w:val="24"/>
          <w:szCs w:val="24"/>
        </w:rPr>
        <w:t>_________</w:t>
      </w:r>
    </w:p>
    <w:p w:rsidR="006A6621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  <w:proofErr w:type="gramEnd"/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33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B3798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B37988" w:rsidRPr="006C0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887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38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40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41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42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43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44</w:t>
      </w:r>
      <w:r w:rsidR="005A4539" w:rsidRPr="006C018E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502376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6C018E" w:rsidRDefault="005A4539" w:rsidP="00D27C17">
      <w:pPr>
        <w:ind w:firstLine="567"/>
        <w:jc w:val="both"/>
      </w:pPr>
      <w:r w:rsidRPr="006C018E">
        <w:t xml:space="preserve">при личном получении заявителем </w:t>
      </w:r>
      <w:r w:rsidR="00502376" w:rsidRPr="006C018E">
        <w:t>разрешения на отклонение от предельных параметров разрешенного строительства, реконструкции объе</w:t>
      </w:r>
      <w:r w:rsidR="00682C7E" w:rsidRPr="006C018E">
        <w:t>ктов капитального строительства</w:t>
      </w:r>
      <w:r w:rsidR="006C5D08" w:rsidRPr="006C018E">
        <w:t xml:space="preserve"> (</w:t>
      </w:r>
      <w:r w:rsidR="00502376" w:rsidRPr="006C018E"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6C018E">
        <w:t>)</w:t>
      </w:r>
      <w:r w:rsidRPr="006C018E">
        <w:t>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C7E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и выдача разрешения </w:t>
      </w:r>
      <w:r w:rsidR="00D25671" w:rsidRPr="006C018E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4B472C"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47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48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592229">
        <w:t xml:space="preserve">администрацию муниципального образования </w:t>
      </w:r>
      <w:proofErr w:type="spellStart"/>
      <w:r w:rsidR="00592229">
        <w:t>Краснокоммунарский</w:t>
      </w:r>
      <w:proofErr w:type="spellEnd"/>
      <w:r w:rsidR="00592229">
        <w:t xml:space="preserve"> поссовет </w:t>
      </w:r>
      <w:proofErr w:type="spellStart"/>
      <w:r w:rsidR="00592229">
        <w:t>Сакмаского</w:t>
      </w:r>
      <w:proofErr w:type="spellEnd"/>
      <w:r w:rsidR="00592229">
        <w:t xml:space="preserve"> района Оренбургской области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и регистрация органом местного самоуправления </w:t>
      </w:r>
      <w:r w:rsidR="00592229">
        <w:t xml:space="preserve">администрацией муниципального образования </w:t>
      </w:r>
      <w:proofErr w:type="spellStart"/>
      <w:r w:rsidR="00592229">
        <w:t>Краснокоммунарский</w:t>
      </w:r>
      <w:proofErr w:type="spellEnd"/>
      <w:r w:rsidR="00592229">
        <w:t xml:space="preserve"> поссовет </w:t>
      </w:r>
      <w:proofErr w:type="spellStart"/>
      <w:r w:rsidR="00592229">
        <w:t>Сакмаского</w:t>
      </w:r>
      <w:proofErr w:type="spellEnd"/>
      <w:r w:rsidR="00592229">
        <w:t xml:space="preserve"> района Оренбургской области</w:t>
      </w:r>
      <w:r w:rsidR="005874B6" w:rsidRPr="006C018E">
        <w:rPr>
          <w:rFonts w:eastAsiaTheme="minorHAnsi"/>
          <w:bCs/>
          <w:lang w:eastAsia="en-US"/>
        </w:rPr>
        <w:t xml:space="preserve">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6C018E">
        <w:rPr>
          <w:rFonts w:eastAsiaTheme="minorHAnsi"/>
          <w:lang w:eastAsia="en-US"/>
        </w:rPr>
        <w:t xml:space="preserve">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proofErr w:type="gramStart"/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49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4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913A0F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>. О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  <w:r w:rsidR="00BB4CE8" w:rsidRPr="006C018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t>51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5" w:history="1">
        <w:r w:rsidRPr="006C018E">
          <w:rPr>
            <w:rFonts w:eastAsiaTheme="minorHAnsi"/>
            <w:lang w:eastAsia="en-US"/>
          </w:rPr>
          <w:t>пункте</w:t>
        </w:r>
        <w:r w:rsidR="005A4539" w:rsidRPr="006C018E">
          <w:rPr>
            <w:rFonts w:eastAsiaTheme="minorHAnsi"/>
            <w:lang w:eastAsia="en-US"/>
          </w:rPr>
          <w:t xml:space="preserve"> 19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Pr="006C018E">
        <w:rPr>
          <w:rFonts w:eastAsiaTheme="minorHAnsi"/>
          <w:lang w:eastAsia="en-US"/>
        </w:rPr>
        <w:t>тствии с требованиями пунктов 2</w:t>
      </w:r>
      <w:r w:rsidR="00AC6352" w:rsidRPr="006C018E">
        <w:rPr>
          <w:rFonts w:eastAsiaTheme="minorHAnsi"/>
          <w:lang w:eastAsia="en-US"/>
        </w:rPr>
        <w:t>4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52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53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Pr="006C018E">
        <w:rPr>
          <w:rFonts w:ascii="Times New Roman" w:hAnsi="Times New Roman" w:cs="Times New Roman"/>
        </w:rPr>
        <w:t>0</w:t>
      </w:r>
      <w:r w:rsidR="005A4539" w:rsidRPr="006C018E"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57.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5D3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58.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>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59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Pr="006C018E">
        <w:rPr>
          <w:rFonts w:ascii="Times New Roman" w:hAnsi="Times New Roman" w:cs="Times New Roman"/>
          <w:sz w:val="24"/>
          <w:szCs w:val="24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F23AEB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63.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64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12" w:name="Par8"/>
      <w:bookmarkEnd w:id="12"/>
      <w:r w:rsidRPr="006C018E">
        <w:rPr>
          <w:rFonts w:eastAsiaTheme="minorHAnsi"/>
          <w:lang w:eastAsia="en-US"/>
        </w:rPr>
        <w:t>65.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Pr="006C018E">
        <w:rPr>
          <w:rFonts w:eastAsiaTheme="minorHAnsi"/>
          <w:lang w:eastAsia="en-US"/>
        </w:rPr>
        <w:t xml:space="preserve"> </w:t>
      </w:r>
      <w:r w:rsidR="00631B1F" w:rsidRPr="006C018E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31B1F" w:rsidRPr="006C018E">
        <w:rPr>
          <w:rFonts w:eastAsiaTheme="minorHAnsi"/>
          <w:lang w:eastAsia="en-US"/>
        </w:rPr>
        <w:t xml:space="preserve"> </w:t>
      </w:r>
      <w:r w:rsidR="00BF656F" w:rsidRPr="006C018E">
        <w:rPr>
          <w:rFonts w:eastAsiaTheme="minorHAnsi"/>
          <w:lang w:eastAsia="en-US"/>
        </w:rPr>
        <w:t xml:space="preserve">(мотивированный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F30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6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строительства)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546B2C" w:rsidRPr="006C018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7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Решение о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68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6C018E" w:rsidRDefault="00A93EF4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C15" w:rsidRPr="006C018E" w:rsidRDefault="005A4539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Уведомление заявителя о принятом решении и выдача </w:t>
      </w:r>
      <w:r w:rsidR="001160E0" w:rsidRPr="006C018E">
        <w:rPr>
          <w:rFonts w:eastAsiaTheme="minorHAnsi"/>
          <w:b/>
          <w:lang w:eastAsia="en-US"/>
        </w:rPr>
        <w:t xml:space="preserve">разрешения на отклонение </w:t>
      </w:r>
    </w:p>
    <w:p w:rsidR="00900C15" w:rsidRPr="006C018E" w:rsidRDefault="001160E0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lastRenderedPageBreak/>
        <w:t>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eastAsiaTheme="minorHAnsi"/>
          <w:b/>
          <w:lang w:eastAsia="en-US"/>
        </w:rPr>
        <w:t xml:space="preserve">, либо мотивированного отказа в выдаче </w:t>
      </w:r>
    </w:p>
    <w:p w:rsidR="005A4539" w:rsidRPr="006C018E" w:rsidRDefault="001160E0" w:rsidP="00900C15">
      <w:pPr>
        <w:widowControl w:val="0"/>
        <w:autoSpaceDE w:val="0"/>
        <w:autoSpaceDN w:val="0"/>
        <w:adjustRightInd w:val="0"/>
        <w:jc w:val="center"/>
      </w:pPr>
      <w:r w:rsidRPr="006C018E">
        <w:rPr>
          <w:rFonts w:eastAsiaTheme="minorHAns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6C018E" w:rsidRDefault="00900C15" w:rsidP="001160E0">
      <w:pPr>
        <w:widowControl w:val="0"/>
        <w:autoSpaceDE w:val="0"/>
        <w:autoSpaceDN w:val="0"/>
        <w:adjustRightInd w:val="0"/>
        <w:ind w:firstLine="720"/>
        <w:jc w:val="center"/>
      </w:pPr>
    </w:p>
    <w:p w:rsidR="001160E0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5A4539" w:rsidRPr="006C018E"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72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6C018E" w:rsidRDefault="006A71E3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</w:pPr>
      <w:proofErr w:type="gramStart"/>
      <w:r w:rsidRPr="006C018E"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6C018E">
        <w:t xml:space="preserve"> В данном случае документы готовятся в формате </w:t>
      </w:r>
      <w:proofErr w:type="spellStart"/>
      <w:r w:rsidRPr="006C018E">
        <w:t>pdf</w:t>
      </w:r>
      <w:proofErr w:type="spellEnd"/>
      <w:r w:rsidRPr="006C018E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6C018E">
        <w:t xml:space="preserve">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  <w:proofErr w:type="gramEnd"/>
    </w:p>
    <w:p w:rsidR="007E1B82" w:rsidRPr="006C018E" w:rsidRDefault="007E1B82" w:rsidP="007E1B82">
      <w:pPr>
        <w:widowControl w:val="0"/>
        <w:autoSpaceDE w:val="0"/>
        <w:autoSpaceDN w:val="0"/>
        <w:ind w:firstLine="540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1160E0" w:rsidRPr="006C018E"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выдачи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74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P385"/>
      <w:bookmarkEnd w:id="13"/>
      <w:r w:rsidRPr="006C018E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A4539" w:rsidRPr="006C01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проведения руководителем соответствующего структурного подразделения органа местного самоуправления проверок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77</w:t>
      </w:r>
      <w:r w:rsidR="005A4539" w:rsidRPr="006C018E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78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bookmarkStart w:id="14" w:name="_GoBack"/>
      <w:bookmarkEnd w:id="14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80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81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590D3B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590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widowControl w:val="0"/>
        <w:autoSpaceDE w:val="0"/>
        <w:autoSpaceDN w:val="0"/>
        <w:adjustRightInd w:val="0"/>
        <w:jc w:val="both"/>
      </w:pPr>
      <w:bookmarkStart w:id="15" w:name="sub_4066"/>
      <w:r w:rsidRPr="00590D3B">
        <w:lastRenderedPageBreak/>
        <w:tab/>
        <w:t>82. Заявитель может обратиться с жалобой, в том числе в следующих случаях:</w:t>
      </w:r>
    </w:p>
    <w:p w:rsidR="00590D3B" w:rsidRPr="00590D3B" w:rsidRDefault="00590D3B" w:rsidP="00590D3B">
      <w:pPr>
        <w:autoSpaceDE w:val="0"/>
        <w:autoSpaceDN w:val="0"/>
        <w:adjustRightInd w:val="0"/>
        <w:ind w:left="284" w:firstLine="283"/>
        <w:jc w:val="both"/>
      </w:pPr>
      <w:bookmarkStart w:id="16" w:name="sub_4661"/>
      <w:bookmarkEnd w:id="15"/>
      <w:r w:rsidRPr="00590D3B">
        <w:t xml:space="preserve">1) </w:t>
      </w:r>
      <w:bookmarkStart w:id="17" w:name="sub_4667"/>
      <w:bookmarkEnd w:id="16"/>
      <w:r w:rsidRPr="00590D3B">
        <w:t xml:space="preserve">нарушение срока регистрации запроса о предоставлении муниципальной услуги, запроса, указанного в </w:t>
      </w:r>
      <w:hyperlink r:id="rId16" w:history="1">
        <w:r w:rsidRPr="00590D3B">
          <w:t>статье 15.1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590D3B">
          <w:t>частью 1.3 статьи 16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proofErr w:type="gramStart"/>
      <w:r w:rsidRPr="00590D3B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590D3B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590D3B">
          <w:t>частью 1.3 статьи 16</w:t>
        </w:r>
      </w:hyperlink>
      <w:r w:rsidRPr="00590D3B">
        <w:t xml:space="preserve"> №210-ФЗ;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proofErr w:type="gramStart"/>
      <w:r w:rsidRPr="00590D3B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9" w:history="1">
        <w:r w:rsidRPr="00590D3B">
          <w:t>частью 1.1 статьи 16</w:t>
        </w:r>
      </w:hyperlink>
      <w:r w:rsidRPr="00590D3B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90D3B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0" w:history="1">
        <w:r w:rsidRPr="00590D3B">
          <w:t>частью 1.3 статьи 16</w:t>
        </w:r>
      </w:hyperlink>
      <w:r w:rsidRPr="00590D3B">
        <w:t xml:space="preserve"> №210-ФЗ.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>8) нарушение срока или порядка выдачи документов по результатам предоставления муниципальной услуги;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proofErr w:type="gramStart"/>
      <w:r w:rsidRPr="00590D3B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1" w:history="1">
        <w:r w:rsidRPr="00590D3B">
          <w:t>частью 1.3 статьи 16</w:t>
        </w:r>
      </w:hyperlink>
      <w:r w:rsidRPr="00590D3B">
        <w:t xml:space="preserve"> № 210-ФЗ.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</w:p>
    <w:bookmarkEnd w:id="17"/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590D3B">
        <w:rPr>
          <w:b/>
          <w:lang w:eastAsia="en-US"/>
        </w:rPr>
        <w:t>Предмет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83. </w:t>
      </w:r>
      <w:proofErr w:type="gramStart"/>
      <w:r w:rsidRPr="00590D3B">
        <w:rPr>
          <w:lang w:eastAsia="en-US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1B7F08">
        <w:t xml:space="preserve">администрации муниципального образования </w:t>
      </w:r>
      <w:proofErr w:type="spellStart"/>
      <w:r w:rsidR="001B7F08">
        <w:t>Краснокоммунарский</w:t>
      </w:r>
      <w:proofErr w:type="spellEnd"/>
      <w:r w:rsidR="001B7F08">
        <w:t xml:space="preserve"> поссовет </w:t>
      </w:r>
      <w:proofErr w:type="spellStart"/>
      <w:r w:rsidR="001B7F08">
        <w:lastRenderedPageBreak/>
        <w:t>Сакмаского</w:t>
      </w:r>
      <w:proofErr w:type="spellEnd"/>
      <w:r w:rsidR="001B7F08">
        <w:t xml:space="preserve"> района Оренбургской области</w:t>
      </w:r>
      <w:r w:rsidR="001B7F08" w:rsidRPr="00590D3B">
        <w:rPr>
          <w:lang w:eastAsia="en-US"/>
        </w:rPr>
        <w:t xml:space="preserve"> </w:t>
      </w:r>
      <w:r w:rsidRPr="00590D3B">
        <w:rPr>
          <w:lang w:eastAsia="en-US"/>
        </w:rPr>
        <w:t>и его должностных лиц, муниципальных служащих органа местного самоуправления</w:t>
      </w:r>
      <w:r w:rsidR="001B7F08" w:rsidRPr="001B7F08">
        <w:t xml:space="preserve"> </w:t>
      </w:r>
      <w:r w:rsidR="001B7F08">
        <w:t xml:space="preserve">администрации муниципального образования </w:t>
      </w:r>
      <w:proofErr w:type="spellStart"/>
      <w:r w:rsidR="001B7F08">
        <w:t>Краснокоммунарский</w:t>
      </w:r>
      <w:proofErr w:type="spellEnd"/>
      <w:r w:rsidR="001B7F08">
        <w:t xml:space="preserve"> поссовет </w:t>
      </w:r>
      <w:proofErr w:type="spellStart"/>
      <w:r w:rsidR="001B7F08">
        <w:t>Сакмаского</w:t>
      </w:r>
      <w:proofErr w:type="spellEnd"/>
      <w:r w:rsidR="001B7F08">
        <w:t xml:space="preserve"> района Оренбургской области</w:t>
      </w:r>
      <w:r w:rsidR="001B7F08">
        <w:rPr>
          <w:lang w:eastAsia="en-US"/>
        </w:rPr>
        <w:t xml:space="preserve">, </w:t>
      </w:r>
      <w:r w:rsidRPr="00590D3B">
        <w:rPr>
          <w:lang w:eastAsia="en-US"/>
        </w:rPr>
        <w:t xml:space="preserve"> МФЦ, работника МФЦ, а также организаций, осуществляющих функции по предоставлению государственных и муниципальных услуг Оренбургской</w:t>
      </w:r>
      <w:proofErr w:type="gramEnd"/>
      <w:r w:rsidRPr="00590D3B">
        <w:rPr>
          <w:lang w:eastAsia="en-US"/>
        </w:rPr>
        <w:t xml:space="preserve"> области, при предоставлении муниципальной услуги.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84. Жалоба должна содержать: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4681"/>
      <w:r w:rsidRPr="00590D3B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4682"/>
      <w:bookmarkEnd w:id="18"/>
      <w:proofErr w:type="gramStart"/>
      <w:r w:rsidRPr="00590D3B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4683"/>
      <w:bookmarkEnd w:id="19"/>
      <w:r w:rsidRPr="00590D3B">
        <w:t>3) сведения об обжалуемых решениях и действиях (бездействии)</w:t>
      </w:r>
      <w:bookmarkStart w:id="21" w:name="sub_4684"/>
      <w:bookmarkEnd w:id="20"/>
      <w:r w:rsidRPr="00590D3B">
        <w:t>;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r w:rsidRPr="00590D3B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590D3B" w:rsidRPr="00590D3B" w:rsidRDefault="00590D3B" w:rsidP="00590D3B">
      <w:pPr>
        <w:widowControl w:val="0"/>
        <w:autoSpaceDE w:val="0"/>
        <w:autoSpaceDN w:val="0"/>
        <w:adjustRightInd w:val="0"/>
        <w:ind w:firstLine="720"/>
        <w:jc w:val="both"/>
      </w:pPr>
      <w:r w:rsidRPr="00590D3B">
        <w:t>Заявителем могут быть представлены документы (при наличии), подтверждающие доводы заявителя, либо их копии.</w:t>
      </w:r>
    </w:p>
    <w:bookmarkEnd w:id="21"/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590D3B">
        <w:rPr>
          <w:b/>
          <w:lang w:eastAsia="en-US"/>
        </w:rPr>
        <w:t>Органы  местного самоуправления</w:t>
      </w:r>
      <w:r w:rsidRPr="00590D3B">
        <w:rPr>
          <w:b/>
          <w:lang w:eastAsia="en-US"/>
        </w:rPr>
        <w:br/>
        <w:t>и уполномоченные на рассмотрение жалобы должностные лица,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590D3B">
        <w:rPr>
          <w:b/>
          <w:lang w:eastAsia="en-US"/>
        </w:rPr>
        <w:t>которым может быть направлена жалоба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1B7F0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85. Жалоба рассматривается </w:t>
      </w:r>
      <w:r w:rsidR="001B7F08">
        <w:rPr>
          <w:lang w:eastAsia="en-US"/>
        </w:rPr>
        <w:t xml:space="preserve">органом местного самоуправления </w:t>
      </w:r>
      <w:r w:rsidR="001B7F08">
        <w:t xml:space="preserve">администрацией муниципального образования </w:t>
      </w:r>
      <w:proofErr w:type="spellStart"/>
      <w:r w:rsidR="001B7F08">
        <w:t>Краснокоммунарский</w:t>
      </w:r>
      <w:proofErr w:type="spellEnd"/>
      <w:r w:rsidR="001B7F08">
        <w:t xml:space="preserve"> поссовет </w:t>
      </w:r>
      <w:proofErr w:type="spellStart"/>
      <w:r w:rsidR="001B7F08">
        <w:t>Сакмаского</w:t>
      </w:r>
      <w:proofErr w:type="spellEnd"/>
      <w:r w:rsidR="001B7F08">
        <w:t xml:space="preserve"> района Оренбургской области</w:t>
      </w:r>
      <w:r w:rsidRPr="00590D3B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590D3B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2" w:history="1">
        <w:r w:rsidRPr="00590D3B">
          <w:t>частью 1.1 статьи 16</w:t>
        </w:r>
      </w:hyperlink>
      <w:r w:rsidRPr="00590D3B">
        <w:t xml:space="preserve"> № 210-ФЗ, подаются руководителям этих организаций.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22" w:name="Par11"/>
      <w:bookmarkEnd w:id="22"/>
      <w:r w:rsidRPr="00590D3B">
        <w:rPr>
          <w:b/>
          <w:lang w:eastAsia="en-US"/>
        </w:rPr>
        <w:t>Порядок подачи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rPr>
          <w:lang w:eastAsia="en-US"/>
        </w:rPr>
        <w:t xml:space="preserve">86. </w:t>
      </w:r>
      <w:proofErr w:type="gramStart"/>
      <w:r w:rsidRPr="00590D3B">
        <w:rPr>
          <w:lang w:eastAsia="en-US"/>
        </w:rPr>
        <w:t>Жалоба подается в письменной форме на бумажном носителе</w:t>
      </w:r>
      <w:r w:rsidRPr="00590D3B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590D3B">
        <w:t xml:space="preserve">предусмотренных </w:t>
      </w:r>
      <w:hyperlink r:id="rId23" w:history="1">
        <w:r w:rsidRPr="00590D3B">
          <w:t xml:space="preserve">частью 1.1 статьи </w:t>
        </w:r>
        <w:r w:rsidRPr="00590D3B">
          <w:lastRenderedPageBreak/>
          <w:t>16</w:t>
        </w:r>
      </w:hyperlink>
      <w:r w:rsidRPr="00590D3B">
        <w:t xml:space="preserve"> № 210-ФЗ,</w:t>
      </w:r>
      <w:r w:rsidRPr="00590D3B">
        <w:rPr>
          <w:b/>
          <w:bCs/>
          <w:lang w:eastAsia="en-US"/>
        </w:rPr>
        <w:t xml:space="preserve"> </w:t>
      </w:r>
      <w:r w:rsidRPr="00590D3B">
        <w:rPr>
          <w:bCs/>
          <w:lang w:eastAsia="en-US"/>
        </w:rPr>
        <w:t xml:space="preserve"> а также может быть принята при</w:t>
      </w:r>
      <w:proofErr w:type="gramEnd"/>
      <w:r w:rsidRPr="00590D3B">
        <w:rPr>
          <w:bCs/>
          <w:lang w:eastAsia="en-US"/>
        </w:rPr>
        <w:t xml:space="preserve"> личном </w:t>
      </w:r>
      <w:proofErr w:type="gramStart"/>
      <w:r w:rsidRPr="00590D3B">
        <w:rPr>
          <w:bCs/>
          <w:lang w:eastAsia="en-US"/>
        </w:rPr>
        <w:t>приеме</w:t>
      </w:r>
      <w:proofErr w:type="gramEnd"/>
      <w:r w:rsidRPr="00590D3B">
        <w:rPr>
          <w:bCs/>
          <w:lang w:eastAsia="en-US"/>
        </w:rPr>
        <w:t xml:space="preserve"> заявителя в органе местного самоуправления</w:t>
      </w:r>
      <w:r w:rsidRPr="00590D3B">
        <w:t xml:space="preserve">. 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lang w:eastAsia="en-US"/>
        </w:rPr>
        <w:t xml:space="preserve">87. </w:t>
      </w:r>
      <w:r w:rsidRPr="00590D3B">
        <w:rPr>
          <w:rFonts w:eastAsiaTheme="minorHAnsi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90D3B">
        <w:rPr>
          <w:rFonts w:eastAsiaTheme="minorHAnsi"/>
          <w:lang w:eastAsia="en-US"/>
        </w:rPr>
        <w:t>представлена</w:t>
      </w:r>
      <w:proofErr w:type="gramEnd"/>
      <w:r w:rsidRPr="00590D3B">
        <w:rPr>
          <w:rFonts w:eastAsiaTheme="minorHAnsi"/>
          <w:lang w:eastAsia="en-US"/>
        </w:rPr>
        <w:t>: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88.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Жалоба в письменной форме может также быть направлена по почте.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89.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rPr>
          <w:lang w:eastAsia="en-US"/>
        </w:rPr>
        <w:t>90.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</w:pPr>
      <w:r w:rsidRPr="00590D3B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4" w:history="1">
        <w:r w:rsidRPr="00590D3B">
          <w:t>статьей</w:t>
        </w:r>
      </w:hyperlink>
      <w:r w:rsidRPr="00590D3B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lang w:eastAsia="en-US"/>
        </w:rPr>
        <w:t xml:space="preserve">91. </w:t>
      </w:r>
      <w:r w:rsidRPr="00590D3B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 xml:space="preserve"> </w:t>
      </w:r>
      <w:hyperlink r:id="rId25" w:history="1">
        <w:r w:rsidRPr="00590D3B">
          <w:rPr>
            <w:rFonts w:eastAsiaTheme="minorHAnsi"/>
            <w:lang w:eastAsia="en-US"/>
          </w:rPr>
          <w:t>статьей 5.63</w:t>
        </w:r>
      </w:hyperlink>
      <w:r w:rsidRPr="00590D3B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Сроки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 xml:space="preserve">92. </w:t>
      </w:r>
      <w:proofErr w:type="gramStart"/>
      <w:r w:rsidRPr="00590D3B">
        <w:rPr>
          <w:bCs/>
          <w:lang w:eastAsia="en-US"/>
        </w:rPr>
        <w:t xml:space="preserve">Жалоба, поступившая в орган, предоставляющий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МФЦ, учредителю МФЦ, в организации, </w:t>
      </w:r>
      <w:r w:rsidRPr="00590D3B">
        <w:t xml:space="preserve">предусмотренные </w:t>
      </w:r>
      <w:hyperlink r:id="rId26" w:history="1">
        <w:r w:rsidRPr="00590D3B">
          <w:t>частью 1.1 статьи 16</w:t>
        </w:r>
      </w:hyperlink>
      <w:r w:rsidRPr="00590D3B">
        <w:t xml:space="preserve"> № 210-ФЗ, </w:t>
      </w:r>
      <w:r w:rsidRPr="00590D3B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должностного лица органа, предоставляющего </w:t>
      </w:r>
      <w:r w:rsidRPr="00590D3B">
        <w:rPr>
          <w:lang w:eastAsia="en-US"/>
        </w:rPr>
        <w:t>муниципальную</w:t>
      </w:r>
      <w:r w:rsidRPr="00590D3B">
        <w:rPr>
          <w:bCs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 w:rsidRPr="00590D3B">
        <w:rPr>
          <w:bCs/>
          <w:lang w:eastAsia="en-US"/>
        </w:rPr>
        <w:t xml:space="preserve"> </w:t>
      </w:r>
      <w:r w:rsidRPr="00590D3B">
        <w:rPr>
          <w:bCs/>
          <w:lang w:eastAsia="en-US"/>
        </w:rPr>
        <w:lastRenderedPageBreak/>
        <w:t xml:space="preserve">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3" w:name="Par25"/>
      <w:bookmarkEnd w:id="23"/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Результат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93. По результатам рассмотрения жалобы принимается одно из следующих решений:</w:t>
      </w:r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proofErr w:type="gramStart"/>
      <w:r w:rsidRPr="00590D3B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590D3B" w:rsidRPr="00590D3B" w:rsidRDefault="00590D3B" w:rsidP="00590D3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590D3B">
        <w:rPr>
          <w:rFonts w:eastAsiaTheme="minorHAnsi"/>
          <w:lang w:eastAsia="en-US"/>
        </w:rPr>
        <w:t>2) в удовлетворении жалобы отказывается.</w:t>
      </w:r>
    </w:p>
    <w:p w:rsidR="00590D3B" w:rsidRPr="00590D3B" w:rsidRDefault="00590D3B" w:rsidP="00590D3B">
      <w:pPr>
        <w:autoSpaceDE w:val="0"/>
        <w:autoSpaceDN w:val="0"/>
        <w:adjustRightInd w:val="0"/>
        <w:rPr>
          <w:b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590D3B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 xml:space="preserve">94.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590D3B">
          <w:rPr>
            <w:bCs/>
            <w:lang w:eastAsia="en-US"/>
          </w:rPr>
          <w:t>пункте</w:t>
        </w:r>
      </w:hyperlink>
      <w:r w:rsidRPr="00590D3B">
        <w:rPr>
          <w:bCs/>
          <w:lang w:eastAsia="en-US"/>
        </w:rPr>
        <w:t xml:space="preserve"> </w:t>
      </w:r>
      <w:r w:rsidR="00441F6B" w:rsidRPr="00441F6B">
        <w:rPr>
          <w:bCs/>
          <w:lang w:eastAsia="en-US"/>
        </w:rPr>
        <w:t>93</w:t>
      </w:r>
      <w:r w:rsidRPr="00441F6B">
        <w:rPr>
          <w:bCs/>
          <w:lang w:eastAsia="en-US"/>
        </w:rPr>
        <w:t xml:space="preserve"> Административного регламента.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/>
        </w:rPr>
      </w:pPr>
      <w:r w:rsidRPr="00590D3B">
        <w:rPr>
          <w:bCs/>
          <w:lang w:eastAsia="en-US"/>
        </w:rPr>
        <w:t xml:space="preserve">95. </w:t>
      </w:r>
      <w:r w:rsidRPr="00590D3B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590D3B" w:rsidRPr="00590D3B" w:rsidRDefault="00590D3B" w:rsidP="00590D3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0D3B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590D3B" w:rsidRPr="00590D3B" w:rsidRDefault="00590D3B" w:rsidP="00590D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590D3B">
        <w:t xml:space="preserve">96. </w:t>
      </w:r>
      <w:r w:rsidRPr="00590D3B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1A7523">
        <w:rPr>
          <w:lang w:eastAsia="en-US"/>
        </w:rPr>
        <w:t>85</w:t>
      </w:r>
      <w:r w:rsidRPr="00590D3B">
        <w:rPr>
          <w:lang w:eastAsia="en-US"/>
        </w:rPr>
        <w:t xml:space="preserve"> настоящего Административного регламента.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Право заявителя на получение информации и документов,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proofErr w:type="gramStart"/>
      <w:r w:rsidRPr="00590D3B">
        <w:rPr>
          <w:b/>
          <w:bCs/>
          <w:lang w:eastAsia="en-US"/>
        </w:rPr>
        <w:t>необходимых</w:t>
      </w:r>
      <w:proofErr w:type="gramEnd"/>
      <w:r w:rsidRPr="00590D3B">
        <w:rPr>
          <w:b/>
          <w:bCs/>
          <w:lang w:eastAsia="en-US"/>
        </w:rPr>
        <w:t xml:space="preserve"> для обоснования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97.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Способы информирования заявителя</w:t>
      </w:r>
    </w:p>
    <w:p w:rsidR="00590D3B" w:rsidRPr="00590D3B" w:rsidRDefault="00590D3B" w:rsidP="00590D3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90D3B">
        <w:rPr>
          <w:b/>
          <w:bCs/>
          <w:lang w:eastAsia="en-US"/>
        </w:rPr>
        <w:t>о порядке подачи и рассмотрения жалобы</w:t>
      </w:r>
    </w:p>
    <w:p w:rsidR="00590D3B" w:rsidRPr="00590D3B" w:rsidRDefault="00590D3B" w:rsidP="00590D3B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98. Информирование заявителей о порядке подачи и рассмотрения жалобы осуществляется следующими способами: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590D3B" w:rsidRPr="00590D3B" w:rsidRDefault="00590D3B" w:rsidP="00590D3B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590D3B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6C018E" w:rsidRDefault="00090A0C" w:rsidP="00090A0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5A4539">
      <w:pPr>
        <w:ind w:left="7371"/>
      </w:pPr>
    </w:p>
    <w:p w:rsidR="00047F2A" w:rsidRPr="006C018E" w:rsidRDefault="00047F2A" w:rsidP="00886BEE"/>
    <w:p w:rsidR="005A4539" w:rsidRPr="006C018E" w:rsidRDefault="005A4539" w:rsidP="005A4539">
      <w:pPr>
        <w:ind w:left="7371"/>
      </w:pPr>
      <w:r w:rsidRPr="006C018E">
        <w:lastRenderedPageBreak/>
        <w:t xml:space="preserve">Приложение №1 к </w:t>
      </w:r>
      <w:proofErr w:type="gramStart"/>
      <w:r w:rsidRPr="006C018E">
        <w:t>Административному</w:t>
      </w:r>
      <w:proofErr w:type="gramEnd"/>
    </w:p>
    <w:p w:rsidR="005A4539" w:rsidRPr="006C018E" w:rsidRDefault="005A4539" w:rsidP="005A4539">
      <w:pPr>
        <w:ind w:left="7371"/>
      </w:pPr>
      <w:r w:rsidRPr="006C018E">
        <w:t xml:space="preserve">регламенту </w:t>
      </w:r>
      <w:r w:rsidRPr="006C018E">
        <w:rPr>
          <w:bCs/>
        </w:rPr>
        <w:t xml:space="preserve">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. почта 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5A4539"/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7C43E3" w:rsidRPr="006C018E">
        <w:t>_______________________________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t>________________________________________________________</w:t>
      </w:r>
      <w:r w:rsidR="007C43E3" w:rsidRPr="006C018E">
        <w:t>______________________________</w:t>
      </w:r>
      <w:r w:rsidRPr="006C018E">
        <w:rPr>
          <w:sz w:val="20"/>
          <w:szCs w:val="20"/>
        </w:rPr>
        <w:t xml:space="preserve">(с учетом </w:t>
      </w:r>
      <w:proofErr w:type="gramStart"/>
      <w:r w:rsidRPr="006C018E">
        <w:rPr>
          <w:sz w:val="20"/>
          <w:szCs w:val="20"/>
        </w:rPr>
        <w:t>ч</w:t>
      </w:r>
      <w:proofErr w:type="gramEnd"/>
      <w:r w:rsidRPr="006C018E">
        <w:rPr>
          <w:sz w:val="20"/>
          <w:szCs w:val="20"/>
        </w:rPr>
        <w:t xml:space="preserve">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lastRenderedPageBreak/>
        <w:t>_______________________________________________________</w:t>
      </w:r>
      <w:r w:rsidR="007C43E3" w:rsidRPr="006C018E">
        <w:t>______________________________.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-______________________________________</w:t>
      </w:r>
      <w:r w:rsidR="00F45B34" w:rsidRPr="006C018E">
        <w:t>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</w:t>
      </w:r>
      <w:proofErr w:type="gramStart"/>
      <w:r w:rsidRPr="006C018E">
        <w:rPr>
          <w:sz w:val="20"/>
          <w:szCs w:val="20"/>
        </w:rPr>
        <w:t>ч</w:t>
      </w:r>
      <w:proofErr w:type="gramEnd"/>
      <w:r w:rsidRPr="006C018E">
        <w:rPr>
          <w:sz w:val="20"/>
          <w:szCs w:val="20"/>
        </w:rPr>
        <w:t>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___________________________________________________________________________________</w:t>
      </w:r>
      <w:r w:rsidRPr="006C018E">
        <w:t>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</w:t>
      </w:r>
      <w:proofErr w:type="gramStart"/>
      <w:r w:rsidRPr="006C018E">
        <w:rPr>
          <w:sz w:val="20"/>
          <w:szCs w:val="20"/>
        </w:rPr>
        <w:t>ч</w:t>
      </w:r>
      <w:proofErr w:type="gramEnd"/>
      <w:r w:rsidRPr="006C018E">
        <w:rPr>
          <w:sz w:val="20"/>
          <w:szCs w:val="20"/>
        </w:rPr>
        <w:t xml:space="preserve">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</w:t>
      </w:r>
      <w:proofErr w:type="gramStart"/>
      <w:r w:rsidRPr="006C018E">
        <w:t xml:space="preserve"> -___________________________________________________________</w:t>
      </w:r>
      <w:proofErr w:type="gramEnd"/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</w:t>
      </w:r>
      <w:proofErr w:type="gramStart"/>
      <w:r w:rsidRPr="006C018E">
        <w:rPr>
          <w:sz w:val="20"/>
          <w:szCs w:val="20"/>
        </w:rPr>
        <w:t>ч</w:t>
      </w:r>
      <w:proofErr w:type="gramEnd"/>
      <w:r w:rsidRPr="006C018E">
        <w:rPr>
          <w:sz w:val="20"/>
          <w:szCs w:val="20"/>
        </w:rPr>
        <w:t xml:space="preserve">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</w:pPr>
      <w:r w:rsidRPr="006C018E">
        <w:t>5. Иные показатели - _____________________________________________________________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6C018E">
        <w:t>нужное</w:t>
      </w:r>
      <w:proofErr w:type="gramEnd"/>
      <w:r w:rsidRPr="006C018E">
        <w:t xml:space="preserve">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6C018E">
        <w:t xml:space="preserve"> ___-___-___-__</w:t>
      </w:r>
      <w:proofErr w:type="gramEnd"/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7E1B82" w:rsidP="007E1B82">
      <w:pPr>
        <w:ind w:firstLine="708"/>
        <w:jc w:val="both"/>
      </w:pPr>
      <w:r w:rsidRPr="006C018E">
        <w:t>СНИЛС</w:t>
      </w:r>
      <w:proofErr w:type="gramStart"/>
      <w:r w:rsidRPr="006C018E">
        <w:t xml:space="preserve"> ___-___-___-__</w:t>
      </w:r>
      <w:proofErr w:type="gramEnd"/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lastRenderedPageBreak/>
        <w:t>ДА/НЕТ Прошу восстановить доступ в ЕСИА</w:t>
      </w:r>
    </w:p>
    <w:p w:rsidR="00793384" w:rsidRPr="006C018E" w:rsidRDefault="00793384" w:rsidP="00793384">
      <w:pPr>
        <w:jc w:val="both"/>
      </w:pPr>
    </w:p>
    <w:p w:rsidR="005A4539" w:rsidRPr="006C018E" w:rsidRDefault="005A4539" w:rsidP="005A4539">
      <w:pPr>
        <w:jc w:val="both"/>
      </w:pPr>
    </w:p>
    <w:p w:rsidR="00BE1253" w:rsidRPr="006C018E" w:rsidRDefault="00BE1253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/>
      </w:tblPr>
      <w:tblGrid>
        <w:gridCol w:w="3556"/>
        <w:gridCol w:w="416"/>
        <w:gridCol w:w="2482"/>
        <w:gridCol w:w="552"/>
        <w:gridCol w:w="3133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  <w:r w:rsidRPr="006C018E">
        <w:t xml:space="preserve"> </w:t>
      </w:r>
    </w:p>
    <w:p w:rsidR="005A4539" w:rsidRPr="006C018E" w:rsidRDefault="005A4539" w:rsidP="005A4539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</w:t>
      </w:r>
      <w:proofErr w:type="gramStart"/>
      <w:r w:rsidRPr="006C018E">
        <w:t>нужное</w:t>
      </w:r>
      <w:proofErr w:type="gramEnd"/>
      <w:r w:rsidRPr="006C018E">
        <w:t xml:space="preserve"> подчеркнуть)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</w:rPr>
      </w:pPr>
    </w:p>
    <w:p w:rsidR="005A4539" w:rsidRPr="006C018E" w:rsidRDefault="005A4539" w:rsidP="005A4539">
      <w:pPr>
        <w:rPr>
          <w:sz w:val="27"/>
          <w:szCs w:val="27"/>
        </w:rPr>
      </w:pPr>
      <w:r w:rsidRPr="006C018E">
        <w:rPr>
          <w:sz w:val="27"/>
          <w:szCs w:val="27"/>
        </w:rPr>
        <w:t xml:space="preserve"> </w:t>
      </w: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Default="00047F2A" w:rsidP="005A4539">
      <w:pPr>
        <w:ind w:left="7371"/>
        <w:rPr>
          <w:sz w:val="28"/>
          <w:szCs w:val="28"/>
        </w:rPr>
      </w:pPr>
    </w:p>
    <w:p w:rsidR="00886BEE" w:rsidRDefault="00886BEE" w:rsidP="005A4539">
      <w:pPr>
        <w:ind w:left="7371"/>
        <w:rPr>
          <w:sz w:val="28"/>
          <w:szCs w:val="28"/>
        </w:rPr>
      </w:pPr>
    </w:p>
    <w:p w:rsidR="00886BEE" w:rsidRDefault="00886BEE" w:rsidP="005A4539">
      <w:pPr>
        <w:ind w:left="7371"/>
        <w:rPr>
          <w:sz w:val="28"/>
          <w:szCs w:val="28"/>
        </w:rPr>
      </w:pPr>
    </w:p>
    <w:p w:rsidR="00886BEE" w:rsidRDefault="00886BEE" w:rsidP="005A4539">
      <w:pPr>
        <w:ind w:left="7371"/>
        <w:rPr>
          <w:sz w:val="28"/>
          <w:szCs w:val="28"/>
        </w:rPr>
      </w:pPr>
    </w:p>
    <w:p w:rsidR="00886BEE" w:rsidRDefault="00886BEE" w:rsidP="005A4539">
      <w:pPr>
        <w:ind w:left="7371"/>
        <w:rPr>
          <w:sz w:val="28"/>
          <w:szCs w:val="28"/>
        </w:rPr>
      </w:pPr>
    </w:p>
    <w:p w:rsidR="00886BEE" w:rsidRPr="006C018E" w:rsidRDefault="00886BEE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Default="00047F2A" w:rsidP="005A4539">
      <w:pPr>
        <w:ind w:left="7371"/>
        <w:rPr>
          <w:sz w:val="28"/>
          <w:szCs w:val="28"/>
        </w:rPr>
      </w:pPr>
    </w:p>
    <w:p w:rsidR="001B7F08" w:rsidRDefault="001B7F08" w:rsidP="001B7F08">
      <w:pPr>
        <w:rPr>
          <w:sz w:val="28"/>
          <w:szCs w:val="28"/>
        </w:rPr>
      </w:pPr>
    </w:p>
    <w:p w:rsidR="00886BEE" w:rsidRPr="006C018E" w:rsidRDefault="00886BEE" w:rsidP="001B7F08">
      <w:pPr>
        <w:rPr>
          <w:sz w:val="28"/>
          <w:szCs w:val="28"/>
        </w:rPr>
      </w:pPr>
    </w:p>
    <w:p w:rsidR="005A4539" w:rsidRPr="006C018E" w:rsidRDefault="00793384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lastRenderedPageBreak/>
        <w:t>Приложение №2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к Административному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регламенту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E1253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Блок-схема</w:t>
      </w:r>
    </w:p>
    <w:p w:rsidR="00D62070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 xml:space="preserve">исполнения предоставления муниципальной услуги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«</w:t>
      </w:r>
      <w:r w:rsidR="00BE1253" w:rsidRPr="006C018E">
        <w:rPr>
          <w:lang w:eastAsia="en-US"/>
        </w:rPr>
        <w:t>Выдача</w:t>
      </w:r>
      <w:r w:rsidR="00D62070" w:rsidRPr="006C018E">
        <w:rPr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6C018E">
        <w:rPr>
          <w:lang w:eastAsia="en-US"/>
        </w:rPr>
        <w:t>»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E50F58" w:rsidRPr="006C018E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7"/>
        <w:gridCol w:w="415"/>
        <w:gridCol w:w="1116"/>
        <w:gridCol w:w="707"/>
        <w:gridCol w:w="965"/>
        <w:gridCol w:w="416"/>
        <w:gridCol w:w="3443"/>
      </w:tblGrid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Заявитель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2942" w:type="dxa"/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Портал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6C018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6C018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C018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C018E">
              <w:rPr>
                <w:rFonts w:eastAsia="Calibri"/>
              </w:rPr>
              <w:t>полученные в результате межведомственного</w:t>
            </w:r>
            <w:r w:rsidRPr="006C018E">
              <w:t xml:space="preserve"> информационного</w:t>
            </w:r>
            <w:r w:rsidRPr="006C018E">
              <w:rPr>
                <w:rFonts w:eastAsia="Calibri"/>
              </w:rPr>
              <w:t xml:space="preserve"> взаимодействия</w:t>
            </w:r>
            <w:proofErr w:type="gramEnd"/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4502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896C49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50801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4C4831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18E">
              <w:rPr>
                <w:rFonts w:eastAsiaTheme="minorHAnsi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1B7F08" w:rsidRPr="00650801" w:rsidRDefault="001B7F08" w:rsidP="001B7F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E50F58" w:rsidRPr="00650801" w:rsidRDefault="00E50F58" w:rsidP="00E50F5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sectPr w:rsidR="00E50F58" w:rsidRPr="00650801" w:rsidSect="00886BEE">
      <w:pgSz w:w="12240" w:h="15840" w:code="1"/>
      <w:pgMar w:top="709" w:right="616" w:bottom="851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37" w:rsidRDefault="00743B37">
      <w:r>
        <w:separator/>
      </w:r>
    </w:p>
  </w:endnote>
  <w:endnote w:type="continuationSeparator" w:id="0">
    <w:p w:rsidR="00743B37" w:rsidRDefault="0074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37" w:rsidRDefault="00743B37">
      <w:r>
        <w:separator/>
      </w:r>
    </w:p>
  </w:footnote>
  <w:footnote w:type="continuationSeparator" w:id="0">
    <w:p w:rsidR="00743B37" w:rsidRDefault="00743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2F7DAB"/>
    <w:multiLevelType w:val="hybridMultilevel"/>
    <w:tmpl w:val="45680E1C"/>
    <w:lvl w:ilvl="0" w:tplc="ECAE741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952EB"/>
    <w:rsid w:val="000032FC"/>
    <w:rsid w:val="00047F2A"/>
    <w:rsid w:val="00063C55"/>
    <w:rsid w:val="00090A0C"/>
    <w:rsid w:val="000A0357"/>
    <w:rsid w:val="000A514F"/>
    <w:rsid w:val="000C0305"/>
    <w:rsid w:val="000C0C2A"/>
    <w:rsid w:val="000E4AC8"/>
    <w:rsid w:val="000E4C4D"/>
    <w:rsid w:val="000E4C68"/>
    <w:rsid w:val="000F7649"/>
    <w:rsid w:val="00104C0B"/>
    <w:rsid w:val="001160E0"/>
    <w:rsid w:val="00154810"/>
    <w:rsid w:val="00163F40"/>
    <w:rsid w:val="001834A0"/>
    <w:rsid w:val="001905DC"/>
    <w:rsid w:val="00193292"/>
    <w:rsid w:val="00193BE9"/>
    <w:rsid w:val="001941D6"/>
    <w:rsid w:val="001A10C1"/>
    <w:rsid w:val="001A7523"/>
    <w:rsid w:val="001B2338"/>
    <w:rsid w:val="001B38CB"/>
    <w:rsid w:val="001B7F08"/>
    <w:rsid w:val="001D6B82"/>
    <w:rsid w:val="001E58E3"/>
    <w:rsid w:val="00236AEC"/>
    <w:rsid w:val="00241643"/>
    <w:rsid w:val="002424AF"/>
    <w:rsid w:val="002849B2"/>
    <w:rsid w:val="002A7F80"/>
    <w:rsid w:val="002C465B"/>
    <w:rsid w:val="002F1DFD"/>
    <w:rsid w:val="002F357E"/>
    <w:rsid w:val="003006B8"/>
    <w:rsid w:val="00315EB5"/>
    <w:rsid w:val="0032619C"/>
    <w:rsid w:val="00335905"/>
    <w:rsid w:val="00351F71"/>
    <w:rsid w:val="00367C63"/>
    <w:rsid w:val="003816DA"/>
    <w:rsid w:val="00393591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1F6B"/>
    <w:rsid w:val="0045778E"/>
    <w:rsid w:val="004648D1"/>
    <w:rsid w:val="00471ABB"/>
    <w:rsid w:val="004822ED"/>
    <w:rsid w:val="004A0911"/>
    <w:rsid w:val="004A51CF"/>
    <w:rsid w:val="004A700B"/>
    <w:rsid w:val="004B472C"/>
    <w:rsid w:val="004C4831"/>
    <w:rsid w:val="004C73FF"/>
    <w:rsid w:val="004E73DA"/>
    <w:rsid w:val="00502376"/>
    <w:rsid w:val="00503F9C"/>
    <w:rsid w:val="00546B2C"/>
    <w:rsid w:val="00547B61"/>
    <w:rsid w:val="00547E27"/>
    <w:rsid w:val="0056099F"/>
    <w:rsid w:val="0056607F"/>
    <w:rsid w:val="00573D35"/>
    <w:rsid w:val="00574C8E"/>
    <w:rsid w:val="00585722"/>
    <w:rsid w:val="00586910"/>
    <w:rsid w:val="005874B6"/>
    <w:rsid w:val="00590D3B"/>
    <w:rsid w:val="00592229"/>
    <w:rsid w:val="005A4539"/>
    <w:rsid w:val="005B74A3"/>
    <w:rsid w:val="005D072B"/>
    <w:rsid w:val="005D194D"/>
    <w:rsid w:val="005D31C9"/>
    <w:rsid w:val="005D34D6"/>
    <w:rsid w:val="00612038"/>
    <w:rsid w:val="00622C15"/>
    <w:rsid w:val="00631B1F"/>
    <w:rsid w:val="0065249D"/>
    <w:rsid w:val="006603D6"/>
    <w:rsid w:val="006656EE"/>
    <w:rsid w:val="00675763"/>
    <w:rsid w:val="00682C7E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43B37"/>
    <w:rsid w:val="0076349D"/>
    <w:rsid w:val="00791838"/>
    <w:rsid w:val="00792F8D"/>
    <w:rsid w:val="00793384"/>
    <w:rsid w:val="007C1BEF"/>
    <w:rsid w:val="007C43E3"/>
    <w:rsid w:val="007C6D27"/>
    <w:rsid w:val="007D4B57"/>
    <w:rsid w:val="007D5D4A"/>
    <w:rsid w:val="007E1B82"/>
    <w:rsid w:val="007E3124"/>
    <w:rsid w:val="007F155E"/>
    <w:rsid w:val="007F3233"/>
    <w:rsid w:val="007F7AE4"/>
    <w:rsid w:val="008063CF"/>
    <w:rsid w:val="008144D7"/>
    <w:rsid w:val="00817FAB"/>
    <w:rsid w:val="008241EA"/>
    <w:rsid w:val="00833706"/>
    <w:rsid w:val="00841145"/>
    <w:rsid w:val="00843DF4"/>
    <w:rsid w:val="00845A36"/>
    <w:rsid w:val="00853737"/>
    <w:rsid w:val="008745F3"/>
    <w:rsid w:val="00882B75"/>
    <w:rsid w:val="00886BEE"/>
    <w:rsid w:val="008870CF"/>
    <w:rsid w:val="00891100"/>
    <w:rsid w:val="008957E0"/>
    <w:rsid w:val="00896C49"/>
    <w:rsid w:val="008A5587"/>
    <w:rsid w:val="008C1B80"/>
    <w:rsid w:val="008D1CA2"/>
    <w:rsid w:val="008D6DFB"/>
    <w:rsid w:val="008E1C8E"/>
    <w:rsid w:val="008E2122"/>
    <w:rsid w:val="00900C15"/>
    <w:rsid w:val="00913A0F"/>
    <w:rsid w:val="00935B92"/>
    <w:rsid w:val="00952F15"/>
    <w:rsid w:val="009552C9"/>
    <w:rsid w:val="00967673"/>
    <w:rsid w:val="00971549"/>
    <w:rsid w:val="00973B60"/>
    <w:rsid w:val="0098467A"/>
    <w:rsid w:val="009952EB"/>
    <w:rsid w:val="009B25B1"/>
    <w:rsid w:val="00A43EC9"/>
    <w:rsid w:val="00A763AD"/>
    <w:rsid w:val="00A81A91"/>
    <w:rsid w:val="00A854D6"/>
    <w:rsid w:val="00A85C08"/>
    <w:rsid w:val="00A93EF4"/>
    <w:rsid w:val="00AB7AD9"/>
    <w:rsid w:val="00AC5D98"/>
    <w:rsid w:val="00AC6352"/>
    <w:rsid w:val="00AD582E"/>
    <w:rsid w:val="00B13105"/>
    <w:rsid w:val="00B250D9"/>
    <w:rsid w:val="00B37988"/>
    <w:rsid w:val="00B50F74"/>
    <w:rsid w:val="00B55E08"/>
    <w:rsid w:val="00B607AF"/>
    <w:rsid w:val="00B93732"/>
    <w:rsid w:val="00BB4CE8"/>
    <w:rsid w:val="00BD0336"/>
    <w:rsid w:val="00BE1253"/>
    <w:rsid w:val="00BF656F"/>
    <w:rsid w:val="00C01A88"/>
    <w:rsid w:val="00C25DF4"/>
    <w:rsid w:val="00C33BE6"/>
    <w:rsid w:val="00C814B2"/>
    <w:rsid w:val="00C97A4B"/>
    <w:rsid w:val="00CA5F2B"/>
    <w:rsid w:val="00CB0865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87080"/>
    <w:rsid w:val="00D923AE"/>
    <w:rsid w:val="00DA7DC2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366C"/>
    <w:rsid w:val="00E159BD"/>
    <w:rsid w:val="00E17D96"/>
    <w:rsid w:val="00E2443D"/>
    <w:rsid w:val="00E50F58"/>
    <w:rsid w:val="00E56166"/>
    <w:rsid w:val="00E820C6"/>
    <w:rsid w:val="00EA5FDE"/>
    <w:rsid w:val="00ED2111"/>
    <w:rsid w:val="00ED30F2"/>
    <w:rsid w:val="00F23AEB"/>
    <w:rsid w:val="00F27A6B"/>
    <w:rsid w:val="00F30273"/>
    <w:rsid w:val="00F35789"/>
    <w:rsid w:val="00F45B34"/>
    <w:rsid w:val="00F765D5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Прямая со стрелкой 4"/>
        <o:r id="V:Rule14" type="connector" idref="#Прямая со стрелкой 10"/>
        <o:r id="V:Rule15" type="connector" idref="#Прямая со стрелкой 9"/>
        <o:r id="V:Rule16" type="connector" idref="#Прямая со стрелкой 7"/>
        <o:r id="V:Rule17" type="connector" idref="#Прямая со стрелкой 2"/>
        <o:r id="V:Rule18" type="connector" idref="#Прямая со стрелкой 6"/>
        <o:r id="V:Rule19" type="connector" idref="#Прямая со стрелкой 12"/>
        <o:r id="V:Rule20" type="connector" idref="#Прямая со стрелкой 13"/>
        <o:r id="V:Rule21" type="connector" idref="#Прямая со стрелкой 11"/>
        <o:r id="V:Rule22" type="connector" idref="#Прямая со стрелкой 8"/>
        <o:r id="V:Rule23" type="connector" idref="#Прямая со стрелкой 3"/>
        <o:r id="V:Rule24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paragraph" w:styleId="af1">
    <w:name w:val="No Spacing"/>
    <w:uiPriority w:val="1"/>
    <w:qFormat/>
    <w:rsid w:val="007F32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consultantplus://offline/ref=51FFC7BCF659B3634B2370AB3CD4FA85142E09AE6B5CDA928650F49C18780706BBD9F63D0F9092E3a0vAG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consultantplus://offline/ref=A37A1BEB0A7DBE28DAAEF855DE8CBBF697E6C0C4213C6ACB2A14F2EE459F48690D310A36DFC68E1EqDm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43C5515ACD714A09100ADF3F930682B96D2B4A7A9FF42C18C9665B7697A72B7B154D96FF04FA00DDAAH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C52D873195D1C21D6C120B6A49D35471040238F97A3725AD7F3A843224524E4F5750EED1F622L3u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CB1K83C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8188C12DC598D1A95CF4C4C51F21BB449C84A87B0DDDB862A2860BFDEDF7A21B91AAC52410qBB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CA0BEDC9F8681F975D643EF54E79A8AFE031A971C62AC654EFA13827D15FBB66816CF58F2F451C5CA2Bs2j7E" TargetMode="External"/><Relationship Id="rId23" Type="http://schemas.openxmlformats.org/officeDocument/2006/relationships/hyperlink" Target="consultantplus://offline/ref=A37A1BEB0A7DBE28DAAEF855DE8CBBF697E6C0C4213C6ACB2A14F2EE459F48690D310A36DFC68E1EqDm9F" TargetMode="External"/><Relationship Id="rId28" Type="http://schemas.openxmlformats.org/officeDocument/2006/relationships/theme" Target="theme/theme1.xml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6D7BA3A833767AD1434F0C52DE2ABEB80F568C5722D49381984B705921U2AFF" TargetMode="External"/><Relationship Id="rId19" Type="http://schemas.openxmlformats.org/officeDocument/2006/relationships/hyperlink" Target="consultantplus://offline/ref=1DA3E51AE0180EC95543DCE6FD1FD774113BB293C9985922C80CA8C859F8AE379522880FB588FDEBK73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EBE9DC809E806B967617B571FA1833CE335099EEFD14C1B7EEC590A1314F2946F7AA57CBAD20AE4E9232D6J5R6E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D580-59F1-448C-91A1-812AD8A4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10010</Words>
  <Characters>57058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11</cp:revision>
  <cp:lastPrinted>2018-08-30T11:50:00Z</cp:lastPrinted>
  <dcterms:created xsi:type="dcterms:W3CDTF">2017-04-13T04:36:00Z</dcterms:created>
  <dcterms:modified xsi:type="dcterms:W3CDTF">2018-08-30T11:52:00Z</dcterms:modified>
</cp:coreProperties>
</file>